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10.png" ContentType="image/png"/>
  <Override PartName="/word/media/rId70.png" ContentType="image/png"/>
  <Override PartName="/word/media/rId73.png" ContentType="image/png"/>
  <Override PartName="/word/media/rId17.png" ContentType="image/png"/>
  <Override PartName="/word/media/rId50.png" ContentType="image/png"/>
  <Override PartName="/word/media/rId53.png" ContentType="image/png"/>
  <Override PartName="/word/media/rId34.png" ContentType="image/png"/>
  <Override PartName="/word/media/rId38.png" ContentType="image/png"/>
  <Override PartName="/word/media/rId24.png" ContentType="image/png"/>
  <Override PartName="/word/media/rId31.png" ContentType="image/png"/>
  <Override PartName="/word/media/rId44.png" ContentType="image/png"/>
  <Override PartName="/word/media/rId78.png" ContentType="image/png"/>
  <Override PartName="/word/media/rId41.png" ContentType="image/png"/>
  <Override PartName="/word/media/rId5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 Packages for Knowledge Space Theory</w:t>
      </w:r>
    </w:p>
    <w:p>
      <w:pPr>
        <w:pStyle w:val="Subtitle"/>
      </w:pPr>
      <w:r>
        <w:t xml:space="preserve">Version 3.0-2</w:t>
      </w:r>
    </w:p>
    <w:p>
      <w:pPr>
        <w:pStyle w:val="Author"/>
      </w:pPr>
      <w:r>
        <w:t xml:space="preserve">Cord Hockemeyer (Department of Psychology, University of Graz, Austria)</w:t>
      </w:r>
    </w:p>
    <w:p>
      <w:pPr>
        <w:pStyle w:val="Date"/>
      </w:pPr>
      <w:r>
        <w:t xml:space="preserve">September 28,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6" w:name="about-this-document"/>
    <w:p>
      <w:pPr>
        <w:pStyle w:val="Heading3"/>
      </w:pPr>
      <w:r>
        <w:t xml:space="preserve">About this document</w:t>
      </w:r>
    </w:p>
    <w:p>
      <w:pPr>
        <w:numPr>
          <w:ilvl w:val="0"/>
          <w:numId w:val="1001"/>
        </w:numPr>
      </w:pPr>
      <w:r>
        <w:t xml:space="preserve">This work is published under the</w:t>
      </w:r>
      <w:r>
        <w:t xml:space="preserve"> </w:t>
      </w:r>
      <w:hyperlink r:id="rId9">
        <w:r>
          <w:rPr>
            <w:rStyle w:val="Hyperlink"/>
          </w:rPr>
          <w:t xml:space="preserve">CC-BY-NC-SA license</w:t>
        </w:r>
      </w:hyperlink>
      <w:r>
        <w:t xml:space="preserve"> </w:t>
      </w:r>
      <w:r>
        <w:drawing>
          <wp:inline>
            <wp:extent cx="533400" cy="186431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ockemeyer_KST-R_files/figures/CreativeCommon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864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</w:pPr>
      <w:r>
        <w:t xml:space="preserve">To print this document, you may also use its</w:t>
      </w:r>
      <w:r>
        <w:t xml:space="preserve"> </w:t>
      </w:r>
      <w:hyperlink r:id="rId13">
        <w:r>
          <w:rPr>
            <w:rStyle w:val="Hyperlink"/>
          </w:rPr>
          <w:t xml:space="preserve">PDF</w:t>
        </w:r>
      </w:hyperlink>
      <w:r>
        <w:t xml:space="preserve">,</w:t>
      </w:r>
      <w:r>
        <w:t xml:space="preserve"> </w:t>
      </w:r>
      <w:hyperlink r:id="rId14">
        <w:r>
          <w:rPr>
            <w:rStyle w:val="Hyperlink"/>
          </w:rPr>
          <w:t xml:space="preserve">DOCX</w:t>
        </w:r>
      </w:hyperlink>
      <w:r>
        <w:t xml:space="preserve">, or</w:t>
      </w:r>
      <w:r>
        <w:t xml:space="preserve"> </w:t>
      </w:r>
      <w:hyperlink r:id="rId15">
        <w:r>
          <w:rPr>
            <w:rStyle w:val="Hyperlink"/>
          </w:rPr>
          <w:t xml:space="preserve">ODT</w:t>
        </w:r>
      </w:hyperlink>
      <w:r>
        <w:t xml:space="preserve"> </w:t>
      </w:r>
      <w:r>
        <w:t xml:space="preserve">forms.</w:t>
      </w:r>
    </w:p>
    <w:p>
      <w:pPr>
        <w:numPr>
          <w:ilvl w:val="0"/>
          <w:numId w:val="1001"/>
        </w:numPr>
      </w:pPr>
      <w:r>
        <w:t xml:space="preserve">This is a living document; please regard the version number, especially in citations.</w:t>
      </w:r>
    </w:p>
    <w:bookmarkEnd w:id="16"/>
    <w:bookmarkStart w:id="20" w:name="intro"/>
    <w:p>
      <w:pPr>
        <w:pStyle w:val="Heading1"/>
      </w:pPr>
      <w:r>
        <w:rPr>
          <w:rStyle w:val="SectionNumber"/>
        </w:rPr>
        <w:t xml:space="preserve">1</w:t>
      </w:r>
      <w:r>
        <w:tab/>
      </w:r>
      <w:r>
        <w:t xml:space="preserve">Introduction</w:t>
      </w:r>
    </w:p>
    <w:p>
      <w:pPr>
        <w:pStyle w:val="FirstParagraph"/>
      </w:pPr>
      <w:r>
        <w:t xml:space="preserve">Knowledge space theory (KST;</w:t>
      </w:r>
      <w:r>
        <w:t xml:space="preserve"> </w:t>
      </w:r>
      <w:r>
        <w:t xml:space="preserve">Doignon and Falmagne (</w:t>
      </w:r>
      <w:hyperlink w:anchor="ref-doignon:85">
        <w:r>
          <w:rPr>
            <w:rStyle w:val="Hyperlink"/>
          </w:rPr>
          <w:t xml:space="preserve">1985</w:t>
        </w:r>
      </w:hyperlink>
      <w:r>
        <w:t xml:space="preserve">)</w:t>
      </w:r>
      <w:r>
        <w:t xml:space="preserve">;</w:t>
      </w:r>
      <w:r>
        <w:t xml:space="preserve"> </w:t>
      </w:r>
      <w:r>
        <w:t xml:space="preserve">Doignon and Falmagne (</w:t>
      </w:r>
      <w:hyperlink w:anchor="ref-doignon:b99">
        <w:r>
          <w:rPr>
            <w:rStyle w:val="Hyperlink"/>
          </w:rPr>
          <w:t xml:space="preserve">1999</w:t>
        </w:r>
      </w:hyperlink>
      <w:r>
        <w:t xml:space="preserve">)</w:t>
      </w:r>
      <w:r>
        <w:t xml:space="preserve">) offers a set-theoretical framework to structure domains of knowledge</w:t>
      </w:r>
      <w:r>
        <w:t xml:space="preserve"> </w:t>
      </w:r>
      <w:r>
        <w:t xml:space="preserve">through prerequisite relationships. These structures allow an efficient adaptive assessment and training of learners’</w:t>
      </w:r>
      <w:r>
        <w:t xml:space="preserve"> </w:t>
      </w:r>
      <w:r>
        <w:t xml:space="preserve">knowledge.</w:t>
      </w:r>
    </w:p>
    <w:p>
      <w:pPr>
        <w:pStyle w:val="BodyText"/>
      </w:pPr>
      <w:r>
        <w:t xml:space="preserve">Since the development of the first R package on KST around 2008 (</w:t>
      </w:r>
      <w:r>
        <w:rPr>
          <w:rStyle w:val="VerbatimChar"/>
        </w:rPr>
        <w:t xml:space="preserve">kst</w:t>
      </w:r>
      <w:r>
        <w:t xml:space="preserve">;</w:t>
      </w:r>
      <w:r>
        <w:t xml:space="preserve"> </w:t>
      </w:r>
      <w:r>
        <w:t xml:space="preserve">Stahl (</w:t>
      </w:r>
      <w:hyperlink w:anchor="ref-stahl:diss">
        <w:r>
          <w:rPr>
            <w:rStyle w:val="Hyperlink"/>
          </w:rPr>
          <w:t xml:space="preserve">2008</w:t>
        </w:r>
      </w:hyperlink>
      <w:r>
        <w:t xml:space="preserve">)</w:t>
      </w:r>
      <w:r>
        <w:t xml:space="preserve">;</w:t>
      </w:r>
      <w:r>
        <w:t xml:space="preserve"> </w:t>
      </w:r>
      <w:r>
        <w:t xml:space="preserve">Stahl et al. (</w:t>
      </w:r>
      <w:hyperlink w:anchor="ref-stahl:kst">
        <w:r>
          <w:rPr>
            <w:rStyle w:val="Hyperlink"/>
          </w:rPr>
          <w:t xml:space="preserve">2026</w:t>
        </w:r>
      </w:hyperlink>
      <w:r>
        <w:t xml:space="preserve">)</w:t>
      </w:r>
      <w:r>
        <w:t xml:space="preserve">), a multitude of R packages has been developed which are described in this paper and most of which are available</w:t>
      </w:r>
      <w:r>
        <w:t xml:space="preserve"> </w:t>
      </w:r>
      <w:r>
        <w:t xml:space="preserve">from CRAN. Figure 1 gives an overview of the currently available R packages and their dependencies and connections.</w:t>
      </w:r>
    </w:p>
    <w:p>
      <w:pPr>
        <w:pStyle w:val="CaptionedFigure"/>
      </w:pPr>
      <w:r>
        <w:drawing>
          <wp:inline>
            <wp:extent cx="2667000" cy="2059736"/>
            <wp:effectExtent b="0" l="0" r="0" t="0"/>
            <wp:docPr descr="Network of R packages for knowledge space theory" title="" id="18" name="Picture"/>
            <a:graphic>
              <a:graphicData uri="http://schemas.openxmlformats.org/drawingml/2006/picture">
                <pic:pic>
                  <pic:nvPicPr>
                    <pic:cNvPr descr="Hockemeyer_KST-R_files/figures/Network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59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Network of R packages for knowledge space theory</w:t>
      </w:r>
    </w:p>
    <w:p>
      <w:pPr>
        <w:pStyle w:val="BodyText"/>
      </w:pPr>
      <w:r>
        <w:t xml:space="preserve">The solid blue arrows depict package imports, the dashed blue arrows package suggestions. The green lines show that packages</w:t>
      </w:r>
      <w:r>
        <w:t xml:space="preserve"> </w:t>
      </w:r>
      <w:r>
        <w:t xml:space="preserve">share S3 object classes.</w:t>
      </w:r>
    </w:p>
    <w:p>
      <w:pPr>
        <w:pStyle w:val="BodyText"/>
      </w:pPr>
      <w:hyperlink w:anchor="kst">
        <w:r>
          <w:rPr>
            <w:rStyle w:val="Hyperlink"/>
          </w:rPr>
          <w:t xml:space="preserve">Chapter 2</w:t>
        </w:r>
      </w:hyperlink>
      <w:r>
        <w:t xml:space="preserve"> </w:t>
      </w:r>
      <w:r>
        <w:t xml:space="preserve">gives a short introduction to knowledge space theory</w:t>
      </w:r>
      <w:r>
        <w:t xml:space="preserve"> </w:t>
      </w:r>
      <w:r>
        <w:t xml:space="preserve">(KST). In</w:t>
      </w:r>
      <w:r>
        <w:t xml:space="preserve"> </w:t>
      </w:r>
      <w:hyperlink w:anchor="general">
        <w:r>
          <w:rPr>
            <w:rStyle w:val="Hyperlink"/>
          </w:rPr>
          <w:t xml:space="preserve">Chapter 3</w:t>
        </w:r>
      </w:hyperlink>
      <w:r>
        <w:t xml:space="preserve">, packages providing rather general functionalities for basic</w:t>
      </w:r>
      <w:r>
        <w:t xml:space="preserve"> </w:t>
      </w:r>
      <w:r>
        <w:t xml:space="preserve">KST are presented, in</w:t>
      </w:r>
      <w:r>
        <w:t xml:space="preserve"> </w:t>
      </w:r>
      <w:hyperlink w:anchor="extensions">
        <w:r>
          <w:rPr>
            <w:rStyle w:val="Hyperlink"/>
          </w:rPr>
          <w:t xml:space="preserve">Chapter 4</w:t>
        </w:r>
      </w:hyperlink>
      <w:r>
        <w:t xml:space="preserve">, packages for KST extensions follow, namely for</w:t>
      </w:r>
      <w:r>
        <w:t xml:space="preserve"> </w:t>
      </w:r>
      <w:r>
        <w:t xml:space="preserve">competence-based knowledge space theory (CbKST) and for probabilistic knowledge structures. In</w:t>
      </w:r>
      <w:r>
        <w:t xml:space="preserve"> </w:t>
      </w:r>
      <w:hyperlink w:anchor="specific">
        <w:r>
          <w:rPr>
            <w:rStyle w:val="Hyperlink"/>
          </w:rPr>
          <w:t xml:space="preserve">Chapter 5</w:t>
        </w:r>
      </w:hyperlink>
      <w:r>
        <w:t xml:space="preserve">, packages for more specific purposes are mentioned.</w:t>
      </w:r>
      <w:r>
        <w:t xml:space="preserve"> </w:t>
      </w:r>
      <w:r>
        <w:t xml:space="preserve">Throughout the paper, we will use the</w:t>
      </w:r>
      <w:r>
        <w:t xml:space="preserve"> </w:t>
      </w:r>
      <w:r>
        <w:rPr>
          <w:rStyle w:val="VerbatimChar"/>
        </w:rPr>
        <w:t xml:space="preserve">phsg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xpl</w:t>
      </w:r>
      <w:r>
        <w:t xml:space="preserve"> </w:t>
      </w:r>
      <w:r>
        <w:t xml:space="preserve">data sets provided by the</w:t>
      </w:r>
      <w:r>
        <w:t xml:space="preserve"> </w:t>
      </w:r>
      <w:r>
        <w:rPr>
          <w:rStyle w:val="VerbatimChar"/>
        </w:rPr>
        <w:t xml:space="preserve">kstMatrix</w:t>
      </w:r>
      <w:r>
        <w:t xml:space="preserve"> </w:t>
      </w:r>
      <w:r>
        <w:t xml:space="preserve">package.</w:t>
      </w:r>
    </w:p>
    <w:bookmarkEnd w:id="20"/>
    <w:bookmarkStart w:id="23" w:name="kst"/>
    <w:p>
      <w:pPr>
        <w:pStyle w:val="Heading1"/>
      </w:pPr>
      <w:r>
        <w:rPr>
          <w:rStyle w:val="SectionNumber"/>
        </w:rPr>
        <w:t xml:space="preserve">2</w:t>
      </w:r>
      <w:r>
        <w:tab/>
      </w:r>
      <w:r>
        <w:t xml:space="preserve">Knowledge Space Theory</w:t>
      </w:r>
    </w:p>
    <w:p>
      <w:pPr>
        <w:pStyle w:val="FirstParagraph"/>
      </w:pPr>
      <w:r>
        <w:t xml:space="preserve">Knowledge space theory (KST;</w:t>
      </w:r>
      <w:r>
        <w:t xml:space="preserve"> </w:t>
      </w:r>
      <w:r>
        <w:t xml:space="preserve">Doignon and Falmagne (</w:t>
      </w:r>
      <w:hyperlink w:anchor="ref-doignon:85">
        <w:r>
          <w:rPr>
            <w:rStyle w:val="Hyperlink"/>
          </w:rPr>
          <w:t xml:space="preserve">1985</w:t>
        </w:r>
      </w:hyperlink>
      <w:r>
        <w:t xml:space="preserve">)</w:t>
      </w:r>
      <w:r>
        <w:t xml:space="preserve">; see also</w:t>
      </w:r>
      <w:r>
        <w:t xml:space="preserve"> </w:t>
      </w:r>
      <w:r>
        <w:t xml:space="preserve">Heller and Stefanutti (</w:t>
      </w:r>
      <w:hyperlink w:anchor="ref-heller:b24">
        <w:r>
          <w:rPr>
            <w:rStyle w:val="Hyperlink"/>
          </w:rPr>
          <w:t xml:space="preserve">2024</w:t>
        </w:r>
      </w:hyperlink>
      <w:r>
        <w:t xml:space="preserve">)</w:t>
      </w:r>
      <w:r>
        <w:t xml:space="preserve">) was originally developed as a behavioristic</w:t>
      </w:r>
      <w:r>
        <w:t xml:space="preserve"> </w:t>
      </w:r>
      <w:r>
        <w:t xml:space="preserve">framework supporting efficient adaptive assessment of knowledge where efficiency aims at a reduction of the number of</w:t>
      </w:r>
      <w:r>
        <w:t xml:space="preserve"> </w:t>
      </w:r>
      <w:r>
        <w:t xml:space="preserve">questions to be asked. Opposed to other test-theoretical approaches, KST delivers a non-quantitative result, i.e. the</w:t>
      </w:r>
      <w:r>
        <w:t xml:space="preserve"> </w:t>
      </w:r>
      <w:r>
        <w:t xml:space="preserve">subset of test problems the testee is able to solve instead of a less expressive test score.</w:t>
      </w:r>
    </w:p>
    <w:p>
      <w:pPr>
        <w:pStyle w:val="BodyText"/>
      </w:pPr>
      <w:r>
        <w:t xml:space="preserve">Please note that terminology and notations have changed over time, especially in the early years of KST development.</w:t>
      </w:r>
      <w:r>
        <w:t xml:space="preserve"> </w:t>
      </w:r>
      <w:r>
        <w:t xml:space="preserve">In this paper, the line of</w:t>
      </w:r>
      <w:r>
        <w:t xml:space="preserve"> </w:t>
      </w:r>
      <w:r>
        <w:t xml:space="preserve">Doignon and Falmagne (</w:t>
      </w:r>
      <w:hyperlink w:anchor="ref-doignon:b99">
        <w:r>
          <w:rPr>
            <w:rStyle w:val="Hyperlink"/>
          </w:rPr>
          <w:t xml:space="preserve">1999</w:t>
        </w:r>
      </w:hyperlink>
      <w:r>
        <w:t xml:space="preserve">)</w:t>
      </w:r>
      <w:r>
        <w:t xml:space="preserve"> </w:t>
      </w:r>
      <w:r>
        <w:t xml:space="preserve">is followed.</w:t>
      </w:r>
    </w:p>
    <w:p>
      <w:pPr>
        <w:pStyle w:val="BodyText"/>
      </w:pPr>
      <w:r>
        <w:t xml:space="preserve">In KST, a domain of knowledge is specified as a set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of dichotomous test items. The</w:t>
      </w:r>
      <w:r>
        <w:t xml:space="preserve"> </w:t>
      </w:r>
      <w:r>
        <w:rPr>
          <w:i/>
          <w:iCs/>
        </w:rPr>
        <w:t xml:space="preserve">knowledge state</w:t>
      </w:r>
      <w:r>
        <w:t xml:space="preserve"> </w:t>
      </w:r>
      <w:r>
        <w:t xml:space="preserve">of a person</w:t>
      </w:r>
      <w:r>
        <w:t xml:space="preserve"> </w:t>
      </w:r>
      <w:r>
        <w:t xml:space="preserve">is given by the subset</w:t>
      </w:r>
      <w:r>
        <w:t xml:space="preserve"> </w:t>
      </w:r>
      <m:oMath>
        <m:r>
          <m:t>K</m:t>
        </m:r>
        <m:r>
          <m:rPr>
            <m:sty m:val="p"/>
          </m:rPr>
          <m:t>⊆</m:t>
        </m:r>
        <m:r>
          <m:t>Q</m:t>
        </m:r>
      </m:oMath>
      <w:r>
        <w:t xml:space="preserve"> </w:t>
      </w:r>
      <w:r>
        <w:t xml:space="preserve">of items this person can solve. Usually, not all subsets of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can be observed</w:t>
      </w:r>
      <w:r>
        <w:t xml:space="preserve"> </w:t>
      </w:r>
      <w:r>
        <w:t xml:space="preserve">as knowledge states because there exist prerequisite relationships between the items. The set</w:t>
      </w:r>
      <w:r>
        <w:t xml:space="preserve"> </w:t>
      </w:r>
      <m:oMath>
        <m:r>
          <m:rPr>
            <m:scr m:val="script"/>
            <m:sty m:val="p"/>
          </m:rPr>
          <m:t>K</m:t>
        </m:r>
      </m:oMath>
      <w:r>
        <w:t xml:space="preserve"> </w:t>
      </w:r>
      <w:r>
        <w:t xml:space="preserve">of all</w:t>
      </w:r>
      <w:r>
        <w:t xml:space="preserve"> </w:t>
      </w:r>
      <w:r>
        <w:t xml:space="preserve">possible knowledge states is called</w:t>
      </w:r>
      <w:r>
        <w:t xml:space="preserve"> </w:t>
      </w:r>
      <w:r>
        <w:rPr>
          <w:i/>
          <w:iCs/>
        </w:rPr>
        <w:t xml:space="preserve">knowledge structure</w:t>
      </w:r>
      <w:r>
        <w:t xml:space="preserve">. A knowledge structure always contains the emptyset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and the full item set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as knowledge states.</w:t>
      </w:r>
    </w:p>
    <w:p>
      <w:pPr>
        <w:pStyle w:val="BodyText"/>
      </w:pPr>
      <w:r>
        <w:t xml:space="preserve">A special case of a knowledge structure is the</w:t>
      </w:r>
      <w:r>
        <w:t xml:space="preserve"> </w:t>
      </w:r>
      <w:r>
        <w:rPr>
          <w:i/>
          <w:iCs/>
        </w:rPr>
        <w:t xml:space="preserve">knowledge space</w:t>
      </w:r>
      <w:r>
        <w:t xml:space="preserve">, a knowledge structure that is closed under union, i.e. for</w:t>
      </w:r>
      <w:r>
        <w:t xml:space="preserve"> </w:t>
      </w:r>
      <w:r>
        <w:t xml:space="preserve">any two knowledge states</w:t>
      </w:r>
      <w:r>
        <w:t xml:space="preserve"> </w:t>
      </w:r>
      <m:oMath>
        <m:r>
          <m:t>K</m:t>
        </m:r>
        <m:r>
          <m:rPr>
            <m:sty m:val="p"/>
          </m:rPr>
          <m:t>,</m:t>
        </m:r>
        <m:sSup>
          <m:e>
            <m:r>
              <m:t>K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∈</m:t>
        </m:r>
        <m:r>
          <m:rPr>
            <m:scr m:val="script"/>
            <m:sty m:val="p"/>
          </m:rPr>
          <m:t>K</m:t>
        </m:r>
      </m:oMath>
      <w:r>
        <w:t xml:space="preserve">, we have</w:t>
      </w:r>
      <w:r>
        <w:t xml:space="preserve"> </w:t>
      </w:r>
      <m:oMath>
        <m:r>
          <m:t>K</m:t>
        </m:r>
        <m:r>
          <m:rPr>
            <m:sty m:val="p"/>
          </m:rPr>
          <m:t>∪</m:t>
        </m:r>
        <m:sSup>
          <m:e>
            <m:r>
              <m:t>K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∈</m:t>
        </m:r>
        <m:r>
          <m:rPr>
            <m:scr m:val="script"/>
            <m:sty m:val="p"/>
          </m:rPr>
          <m:t>K</m:t>
        </m:r>
      </m:oMath>
      <w:r>
        <w:t xml:space="preserve">. If</w:t>
      </w:r>
      <w:r>
        <w:t xml:space="preserve"> </w:t>
      </w:r>
      <m:oMath>
        <m:r>
          <m:rPr>
            <m:scr m:val="script"/>
            <m:sty m:val="p"/>
          </m:rPr>
          <m:t>K</m:t>
        </m:r>
      </m:oMath>
      <w:r>
        <w:t xml:space="preserve"> </w:t>
      </w:r>
      <w:r>
        <w:t xml:space="preserve">is additionally</w:t>
      </w:r>
      <w:r>
        <w:t xml:space="preserve"> </w:t>
      </w:r>
      <w:r>
        <w:t xml:space="preserve">closed under intersection, it is called</w:t>
      </w:r>
      <w:r>
        <w:t xml:space="preserve"> </w:t>
      </w:r>
      <w:r>
        <w:rPr>
          <w:i/>
          <w:iCs/>
        </w:rPr>
        <w:t xml:space="preserve">quasi-ordinal knowledge space</w:t>
      </w:r>
      <w:r>
        <w:t xml:space="preserve">.</w:t>
      </w:r>
    </w:p>
    <w:p>
      <w:pPr>
        <w:pStyle w:val="BodyText"/>
      </w:pPr>
      <w:r>
        <w:t xml:space="preserve">A knowledge space can also represented by its</w:t>
      </w:r>
      <w:r>
        <w:t xml:space="preserve"> </w:t>
      </w:r>
      <w:r>
        <w:rPr>
          <w:i/>
          <w:iCs/>
        </w:rPr>
        <w:t xml:space="preserve">basis</w:t>
      </w:r>
      <w:r>
        <w:t xml:space="preserve"> </w:t>
      </w:r>
      <m:oMath>
        <m:r>
          <m:rPr>
            <m:scr m:val="script"/>
            <m:sty m:val="p"/>
          </m:rPr>
          <m:t>B</m:t>
        </m:r>
      </m:oMath>
      <w:r>
        <w:t xml:space="preserve">, i.e. the set of all those states which cannot be constructed as union of other, smaller states.</w:t>
      </w:r>
      <w:r>
        <w:t xml:space="preserve"> </w:t>
      </w:r>
      <w:r>
        <w:t xml:space="preserve">The basis is the smallest family of sets from which a knowledge space can be constructed by closure under union. Sometimes,</w:t>
      </w:r>
      <w:r>
        <w:t xml:space="preserve"> </w:t>
      </w:r>
      <w:r>
        <w:t xml:space="preserve">also the term</w:t>
      </w:r>
      <w:r>
        <w:t xml:space="preserve"> </w:t>
      </w:r>
      <w:r>
        <w:rPr>
          <w:i/>
          <w:iCs/>
        </w:rPr>
        <w:t xml:space="preserve">base</w:t>
      </w:r>
      <w:r>
        <w:t xml:space="preserve"> </w:t>
      </w:r>
      <w:r>
        <w:t xml:space="preserve">is used for the basis.</w:t>
      </w:r>
    </w:p>
    <w:p>
      <w:pPr>
        <w:pStyle w:val="BodyText"/>
      </w:pPr>
      <w:r>
        <w:t xml:space="preserve">Another basic concept in KST is the</w:t>
      </w:r>
      <w:r>
        <w:t xml:space="preserve"> </w:t>
      </w:r>
      <w:r>
        <w:rPr>
          <w:i/>
          <w:iCs/>
        </w:rPr>
        <w:t xml:space="preserve">surmise relation</w:t>
      </w:r>
      <w:r>
        <w:t xml:space="preserve"> </w:t>
      </w:r>
      <m:oMath>
        <m:r>
          <m:rPr>
            <m:sty m:val="p"/>
          </m:rPr>
          <m:t>≼</m:t>
        </m:r>
      </m:oMath>
      <w:r>
        <w:t xml:space="preserve">. We write</w:t>
      </w:r>
      <w:r>
        <w:t xml:space="preserve"> </w:t>
      </w:r>
      <m:oMath>
        <m:r>
          <m:t>a</m:t>
        </m:r>
        <m:r>
          <m:rPr>
            <m:sty m:val="p"/>
          </m:rPr>
          <m:t>≼</m:t>
        </m:r>
        <m:r>
          <m:t>b</m:t>
        </m:r>
      </m:oMath>
      <w:r>
        <w:t xml:space="preserve"> </w:t>
      </w:r>
      <w:r>
        <w:t xml:space="preserve">for two items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∈</m:t>
        </m:r>
        <m:r>
          <m:t>Q</m:t>
        </m:r>
      </m:oMath>
      <w:r>
        <w:t xml:space="preserve"> </w:t>
      </w:r>
      <w:r>
        <w:t xml:space="preserve">if,</w:t>
      </w:r>
      <w:r>
        <w:t xml:space="preserve"> </w:t>
      </w:r>
      <w:r>
        <w:t xml:space="preserve">from a person mastering item</w:t>
      </w:r>
      <w:r>
        <w:t xml:space="preserve"> </w:t>
      </w:r>
      <m:oMath>
        <m:r>
          <m:t>b</m:t>
        </m:r>
      </m:oMath>
      <w:r>
        <w:t xml:space="preserve">, we can surmise that this person also masters item</w:t>
      </w:r>
      <w:r>
        <w:t xml:space="preserve"> </w:t>
      </w:r>
      <m:oMath>
        <m:r>
          <m:t>a</m:t>
        </m:r>
      </m:oMath>
      <w:r>
        <w:t xml:space="preserve">. Sometimes, however, this is</w:t>
      </w:r>
      <w:r>
        <w:t xml:space="preserve"> </w:t>
      </w:r>
      <w:r>
        <w:t xml:space="preserve">not so unique because items may be solvable with different solution paths involving different prerequisites. This is</w:t>
      </w:r>
      <w:r>
        <w:t xml:space="preserve"> </w:t>
      </w:r>
      <w:r>
        <w:t xml:space="preserve">covered by the</w:t>
      </w:r>
      <w:r>
        <w:t xml:space="preserve"> </w:t>
      </w:r>
      <w:r>
        <w:rPr>
          <w:i/>
          <w:iCs/>
        </w:rPr>
        <w:t xml:space="preserve">surmise function</w:t>
      </w:r>
      <w:r>
        <w:t xml:space="preserve"> </w:t>
      </w:r>
      <m:oMath>
        <m:r>
          <m:t>σ</m:t>
        </m:r>
      </m:oMath>
      <w:r>
        <w:t xml:space="preserve">, a generalization of the surmise relation.</w:t>
      </w:r>
      <w:r>
        <w:t xml:space="preserve"> </w:t>
      </w:r>
      <m:oMath>
        <m:r>
          <m:t>σ</m:t>
        </m:r>
      </m:oMath>
      <w:r>
        <w:t xml:space="preserve"> </w:t>
      </w:r>
      <w:r>
        <w:t xml:space="preserve">is defined by</w:t>
      </w:r>
    </w:p>
    <w:p>
      <w:pPr>
        <w:pStyle w:val="BodyText"/>
      </w:pPr>
      <m:oMathPara>
        <m:oMathParaPr>
          <m:jc m:val="center"/>
        </m:oMathParaPr>
        <m:oMath>
          <m:r>
            <m:t>σ</m:t>
          </m:r>
          <m:r>
            <m:rPr>
              <m:sty m:val="p"/>
            </m:rPr>
            <m:t>:</m:t>
          </m:r>
          <m:r>
            <m:t>Q</m:t>
          </m:r>
          <m:r>
            <m:rPr>
              <m:sty m:val="p"/>
            </m:rPr>
            <m:t>→</m:t>
          </m:r>
          <m:sSup>
            <m:e>
              <m:r>
                <m:t>2</m:t>
              </m:r>
            </m:e>
            <m:sup>
              <m:sSup>
                <m:e>
                  <m:r>
                    <m:t>2</m:t>
                  </m:r>
                </m:e>
                <m:sup>
                  <m:r>
                    <m:t>Q</m:t>
                  </m:r>
                </m:sup>
              </m:sSup>
              <m:r>
                <m:rPr>
                  <m:sty m:val="p"/>
                </m:rPr>
                <m:t>\</m:t>
              </m:r>
              <m:r>
                <m:rPr>
                  <m:sty m:val="p"/>
                </m:rPr>
                <m:t>∅</m:t>
              </m:r>
            </m:sup>
          </m:sSup>
          <m:r>
            <m:rPr>
              <m:sty m:val="p"/>
            </m:rPr>
            <m:t>\</m:t>
          </m:r>
          <m:r>
            <m:rPr>
              <m:sty m:val="p"/>
            </m:rPr>
            <m:t>∅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i.e. it assigns to each item</w:t>
      </w:r>
      <w:r>
        <w:t xml:space="preserve"> </w:t>
      </w:r>
      <m:oMath>
        <m:r>
          <m:t>q</m:t>
        </m:r>
        <m:r>
          <m:rPr>
            <m:sty m:val="p"/>
          </m:rPr>
          <m:t>∈</m:t>
        </m:r>
        <m:r>
          <m:t>Q</m:t>
        </m:r>
      </m:oMath>
      <w:r>
        <w:t xml:space="preserve"> </w:t>
      </w:r>
      <w:r>
        <w:t xml:space="preserve">a non-empty set of non-empty subsets</w:t>
      </w:r>
      <w:r>
        <w:t xml:space="preserve"> </w:t>
      </w:r>
      <m:oMath>
        <m:r>
          <m:t>C</m:t>
        </m:r>
        <m:r>
          <m:rPr>
            <m:sty m:val="p"/>
          </m:rPr>
          <m:t>⊆</m:t>
        </m:r>
        <m:r>
          <m:t>Q</m:t>
        </m:r>
      </m:oMath>
      <w:r>
        <w:t xml:space="preserve">, the</w:t>
      </w:r>
      <w:r>
        <w:t xml:space="preserve"> </w:t>
      </w:r>
      <w:r>
        <w:rPr>
          <w:i/>
          <w:iCs/>
        </w:rPr>
        <w:t xml:space="preserve">clauses</w:t>
      </w:r>
      <w:r>
        <w:t xml:space="preserve"> </w:t>
      </w:r>
      <w:r>
        <w:t xml:space="preserve">of</w:t>
      </w:r>
      <w:r>
        <w:t xml:space="preserve"> </w:t>
      </w:r>
      <m:oMath>
        <m:r>
          <m:t>q</m:t>
        </m:r>
      </m:oMath>
      <w:r>
        <w:t xml:space="preserve">. If a</w:t>
      </w:r>
      <w:r>
        <w:t xml:space="preserve"> </w:t>
      </w:r>
      <w:r>
        <w:t xml:space="preserve">person masters item</w:t>
      </w:r>
      <w:r>
        <w:t xml:space="preserve"> </w:t>
      </w:r>
      <m:oMath>
        <m:r>
          <m:t>q</m:t>
        </m:r>
      </m:oMath>
      <w:r>
        <w:t xml:space="preserve">, we can surmise that they also master all items in at least one clause of</w:t>
      </w:r>
      <w:r>
        <w:t xml:space="preserve"> </w:t>
      </w:r>
      <m:oMath>
        <m:r>
          <m:t>q</m:t>
        </m:r>
      </m:oMath>
      <w:r>
        <w:t xml:space="preserve">. If, for all</w:t>
      </w:r>
      <w:r>
        <w:t xml:space="preserve"> </w:t>
      </w:r>
      <m:oMath>
        <m:r>
          <m:t>q</m:t>
        </m:r>
        <m:r>
          <m:rPr>
            <m:sty m:val="p"/>
          </m:rPr>
          <m:t>∈</m:t>
        </m:r>
        <m:r>
          <m:t>Q</m:t>
        </m:r>
      </m:oMath>
      <w:r>
        <w:t xml:space="preserve">,</w:t>
      </w:r>
      <w:r>
        <w:t xml:space="preserve"> </w:t>
      </w:r>
      <w:r>
        <w:t xml:space="preserve">we have</w:t>
      </w:r>
      <w:r>
        <w:t xml:space="preserve"> </w:t>
      </w:r>
      <m:oMath>
        <m:r>
          <m:rPr>
            <m:sty m:val="p"/>
          </m:rPr>
          <m:t>|</m:t>
        </m:r>
        <m:r>
          <m:t>σ</m:t>
        </m:r>
        <m:r>
          <m:rPr>
            <m:sty m:val="p"/>
          </m:rPr>
          <m:t>(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|</m:t>
        </m:r>
        <m:r>
          <m:rPr>
            <m:sty m:val="p"/>
          </m:rPr>
          <m:t>=</m:t>
        </m:r>
        <m:r>
          <m:t>1</m:t>
        </m:r>
      </m:oMath>
      <w:r>
        <w:t xml:space="preserve">, i.e. each item has exactly one clause, the surmise function can be represented as a surmise relation.</w:t>
      </w:r>
      <w:r>
        <w:t xml:space="preserve"> </w:t>
      </w:r>
      <w:r>
        <w:t xml:space="preserve">We have then</w:t>
      </w:r>
      <w:r>
        <w:t xml:space="preserve"> </w:t>
      </w:r>
      <m:oMath>
        <m:r>
          <m:t>q</m:t>
        </m:r>
        <m:r>
          <m:rPr>
            <m:sty m:val="p"/>
          </m:rPr>
          <m:t>≼</m:t>
        </m:r>
        <m:sSup>
          <m:e>
            <m:r>
              <m:t>q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if</w:t>
      </w:r>
      <w:r>
        <w:t xml:space="preserve"> </w:t>
      </w:r>
      <m:oMath>
        <m:r>
          <m:t>q</m:t>
        </m:r>
        <m:r>
          <m:rPr>
            <m:sty m:val="p"/>
          </m:rPr>
          <m:t>∈</m:t>
        </m:r>
        <m:r>
          <m:t>C</m:t>
        </m:r>
        <m:r>
          <m:rPr>
            <m:sty m:val="p"/>
          </m:rPr>
          <m:t>∈</m:t>
        </m:r>
        <m:r>
          <m:t>σ</m:t>
        </m:r>
        <m:r>
          <m:rPr>
            <m:sty m:val="p"/>
          </m:rPr>
          <m:t>(</m:t>
        </m:r>
        <m:sSup>
          <m:e>
            <m:r>
              <m:t>q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C</m:t>
        </m:r>
        <m:r>
          <m:rPr>
            <m:sty m:val="p"/>
          </m:rPr>
          <m:t>}</m:t>
        </m:r>
      </m:oMath>
      <w:r>
        <w:t xml:space="preserve">.</w:t>
      </w:r>
    </w:p>
    <w:p>
      <w:pPr>
        <w:pStyle w:val="BodyText"/>
      </w:pPr>
      <w:r>
        <w:t xml:space="preserve">Both, surmise functions and surmise relations have certain properties: reflexivity, transitivity and (for surmise functions)</w:t>
      </w:r>
      <w:r>
        <w:t xml:space="preserve"> </w:t>
      </w:r>
      <w:r>
        <w:t xml:space="preserve">incompatibility, i.e. any two different clauses for an item are not in a subset relation. From mathematical point of view,</w:t>
      </w:r>
      <w:r>
        <w:t xml:space="preserve"> </w:t>
      </w:r>
      <w:r>
        <w:t xml:space="preserve">a surmise relation is a quasi-order.</w:t>
      </w:r>
    </w:p>
    <w:p>
      <w:pPr>
        <w:pStyle w:val="BodyText"/>
      </w:pPr>
      <w:r>
        <w:t xml:space="preserve">There is a one-to-one correspondence between the knowledge spaces over a set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and the surmise functions over</w:t>
      </w:r>
      <w:r>
        <w:t xml:space="preserve"> </w:t>
      </w:r>
      <m:oMath>
        <m:r>
          <m:t>Q</m:t>
        </m:r>
      </m:oMath>
      <w:r>
        <w:t xml:space="preserve">.</w:t>
      </w:r>
      <w:r>
        <w:t xml:space="preserve"> </w:t>
      </w:r>
      <w:r>
        <w:t xml:space="preserve">Similarly, there is a one-to-one correspondence between the quasi-ordinal knowledge spaces and the surmise relations</w:t>
      </w:r>
      <w:r>
        <w:t xml:space="preserve"> </w:t>
      </w:r>
      <w:r>
        <w:t xml:space="preserve">on</w:t>
      </w:r>
      <w:r>
        <w:t xml:space="preserve"> </w:t>
      </w:r>
      <m:oMath>
        <m:r>
          <m:t>Q</m:t>
        </m:r>
      </m:oMath>
      <w:r>
        <w:t xml:space="preserve">.</w:t>
      </w:r>
    </w:p>
    <w:bookmarkStart w:id="21" w:name="cbkst"/>
    <w:p>
      <w:pPr>
        <w:pStyle w:val="Heading2"/>
      </w:pPr>
      <w:r>
        <w:rPr>
          <w:rStyle w:val="SectionNumber"/>
        </w:rPr>
        <w:t xml:space="preserve">2.1</w:t>
      </w:r>
      <w:r>
        <w:tab/>
      </w:r>
      <w:r>
        <w:t xml:space="preserve">CbKST</w:t>
      </w:r>
    </w:p>
    <w:p>
      <w:pPr>
        <w:pStyle w:val="FirstParagraph"/>
      </w:pPr>
      <w:r>
        <w:t xml:space="preserve">While KST itself is rather behavioristic, there was soon a growing interest of KST researchers in the skills and competencies</w:t>
      </w:r>
      <w:r>
        <w:t xml:space="preserve"> </w:t>
      </w:r>
      <w:r>
        <w:t xml:space="preserve">underlying the observable behavior (see, e.g.,</w:t>
      </w:r>
      <w:r>
        <w:t xml:space="preserve"> </w:t>
      </w:r>
      <w:r>
        <w:t xml:space="preserve">Doignon (</w:t>
      </w:r>
      <w:hyperlink w:anchor="ref-doignon:fischer">
        <w:r>
          <w:rPr>
            <w:rStyle w:val="Hyperlink"/>
          </w:rPr>
          <w:t xml:space="preserve">1994</w:t>
        </w:r>
      </w:hyperlink>
      <w:r>
        <w:t xml:space="preserve">)</w:t>
      </w:r>
      <w:r>
        <w:t xml:space="preserve">;</w:t>
      </w:r>
      <w:r>
        <w:t xml:space="preserve"> </w:t>
      </w:r>
      <w:r>
        <w:t xml:space="preserve">Düntsch and Gediga (</w:t>
      </w:r>
      <w:hyperlink w:anchor="ref-duentsch:95">
        <w:r>
          <w:rPr>
            <w:rStyle w:val="Hyperlink"/>
          </w:rPr>
          <w:t xml:space="preserve">1995</w:t>
        </w:r>
      </w:hyperlink>
      <w:r>
        <w:t xml:space="preserve">)</w:t>
      </w:r>
      <w:r>
        <w:t xml:space="preserve">;</w:t>
      </w:r>
      <w:r>
        <w:t xml:space="preserve"> </w:t>
      </w:r>
      <w:r>
        <w:t xml:space="preserve">Korossy (</w:t>
      </w:r>
      <w:hyperlink w:anchor="ref-korossy:97">
        <w:r>
          <w:rPr>
            <w:rStyle w:val="Hyperlink"/>
          </w:rPr>
          <w:t xml:space="preserve">1997</w:t>
        </w:r>
      </w:hyperlink>
      <w:r>
        <w:t xml:space="preserve">)</w:t>
      </w:r>
      <w:r>
        <w:t xml:space="preserve">;</w:t>
      </w:r>
      <w:r>
        <w:t xml:space="preserve"> </w:t>
      </w:r>
      <w:r>
        <w:t xml:space="preserve">Albert and Lukas (</w:t>
      </w:r>
      <w:hyperlink w:anchor="ref-albert:b99">
        <w:r>
          <w:rPr>
            <w:rStyle w:val="Hyperlink"/>
          </w:rPr>
          <w:t xml:space="preserve">1999</w:t>
        </w:r>
      </w:hyperlink>
      <w:r>
        <w:t xml:space="preserve">)</w:t>
      </w:r>
      <w:r>
        <w:t xml:space="preserve">;</w:t>
      </w:r>
      <w:r>
        <w:t xml:space="preserve"> </w:t>
      </w:r>
      <w:r>
        <w:t xml:space="preserve">Heller and Stefanutti (</w:t>
      </w:r>
      <w:hyperlink w:anchor="ref-heller:b24">
        <w:r>
          <w:rPr>
            <w:rStyle w:val="Hyperlink"/>
          </w:rPr>
          <w:t xml:space="preserve">2024</w:t>
        </w:r>
      </w:hyperlink>
      <w:r>
        <w:t xml:space="preserve">)</w:t>
      </w:r>
      <w:r>
        <w:t xml:space="preserve">).</w:t>
      </w:r>
      <w:r>
        <w:t xml:space="preserve"> </w:t>
      </w:r>
      <w:r>
        <w:t xml:space="preserve">Out of the various approaches, that of a</w:t>
      </w:r>
      <w:r>
        <w:t xml:space="preserve"> </w:t>
      </w:r>
      <w:r>
        <w:rPr>
          <w:i/>
          <w:iCs/>
        </w:rPr>
        <w:t xml:space="preserve">skill map</w:t>
      </w:r>
      <w:r>
        <w:t xml:space="preserve"> </w:t>
      </w:r>
      <w:r>
        <w:t xml:space="preserve">has prevailed.</w:t>
      </w:r>
    </w:p>
    <w:p>
      <w:pPr>
        <w:pStyle w:val="BodyText"/>
      </w:pPr>
      <w:r>
        <w:t xml:space="preserve">A skill map is a triple</w:t>
      </w:r>
      <w:r>
        <w:t xml:space="preserve"> </w:t>
      </w:r>
      <m:oMath>
        <m:r>
          <m:rPr>
            <m:sty m:val="p"/>
          </m:rPr>
          <m:t>(</m:t>
        </m:r>
        <m:r>
          <m:t>Q</m:t>
        </m:r>
        <m:r>
          <m:rPr>
            <m:sty m:val="p"/>
          </m:rPr>
          <m:t>,</m:t>
        </m:r>
        <m:r>
          <m:t>S</m:t>
        </m:r>
        <m:r>
          <m:rPr>
            <m:sty m:val="p"/>
          </m:rPr>
          <m:t>,</m:t>
        </m:r>
        <m:r>
          <m:t>τ</m:t>
        </m:r>
        <m:r>
          <m:rPr>
            <m:sty m:val="p"/>
          </m:rPr>
          <m:t>)</m:t>
        </m:r>
      </m:oMath>
      <w:r>
        <w:t xml:space="preserve"> </w:t>
      </w:r>
      <w:r>
        <w:t xml:space="preserve">where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a</w:t>
      </w:r>
      <w:r>
        <w:t xml:space="preserve"> </w:t>
      </w:r>
      <w:r>
        <w:t xml:space="preserve">non-empty set of problems,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a non-empty set of skills, and</w:t>
      </w:r>
      <w:r>
        <w:t xml:space="preserve"> </w:t>
      </w:r>
      <m:oMath>
        <m:r>
          <m:t>τ</m:t>
        </m:r>
        <m:r>
          <m:rPr>
            <m:sty m:val="p"/>
          </m:rPr>
          <m:t>:</m:t>
        </m:r>
        <m:r>
          <m:t>Q</m:t>
        </m:r>
        <m:r>
          <m:rPr>
            <m:sty m:val="p"/>
          </m:rPr>
          <m:t>→</m:t>
        </m:r>
        <m:sSup>
          <m:e>
            <m:r>
              <m:t>2</m:t>
            </m:r>
          </m:e>
          <m:sup>
            <m:r>
              <m:t>S</m:t>
            </m:r>
          </m:sup>
        </m:sSup>
        <m:r>
          <m:rPr>
            <m:sty m:val="p"/>
          </m:rPr>
          <m:t>\</m:t>
        </m:r>
        <m:r>
          <m:rPr>
            <m:sty m:val="p"/>
          </m:rPr>
          <m:t>∅</m:t>
        </m:r>
      </m:oMath>
      <w:r>
        <w:t xml:space="preserve"> </w:t>
      </w:r>
      <w:r>
        <w:t xml:space="preserve">is a mapping</w:t>
      </w:r>
      <w:r>
        <w:t xml:space="preserve"> </w:t>
      </w:r>
      <w:r>
        <w:t xml:space="preserve">assigning to each problem</w:t>
      </w:r>
      <w:r>
        <w:t xml:space="preserve"> </w:t>
      </w:r>
      <m:oMath>
        <m:r>
          <m:t>q</m:t>
        </m:r>
        <m:r>
          <m:rPr>
            <m:sty m:val="p"/>
          </m:rPr>
          <m:t>∈</m:t>
        </m:r>
        <m:r>
          <m:t>Q</m:t>
        </m:r>
      </m:oMath>
      <w:r>
        <w:t xml:space="preserve"> </w:t>
      </w:r>
      <w:r>
        <w:t xml:space="preserve">a non-empty set of skills. There are two different interpretations for</w:t>
      </w:r>
      <w:r>
        <w:t xml:space="preserve"> </w:t>
      </w:r>
      <m:oMath>
        <m:r>
          <m:t>τ</m:t>
        </m:r>
      </m:oMath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Conjunctive model:</w:t>
      </w:r>
      <w:r>
        <w:t xml:space="preserve"> </w:t>
      </w:r>
      <w:r>
        <w:t xml:space="preserve">All skills</w:t>
      </w:r>
      <w:r>
        <w:t xml:space="preserve"> </w:t>
      </w:r>
      <m:oMath>
        <m:r>
          <m:t>s</m:t>
        </m:r>
        <m:r>
          <m:rPr>
            <m:sty m:val="p"/>
          </m:rPr>
          <m:t>∈</m:t>
        </m:r>
        <m:r>
          <m:t>τ</m:t>
        </m:r>
        <m:r>
          <m:rPr>
            <m:sty m:val="p"/>
          </m:rPr>
          <m:t>(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are necessary for solving item</w:t>
      </w:r>
      <w:r>
        <w:t xml:space="preserve"> </w:t>
      </w:r>
      <m:oMath>
        <m:r>
          <m:t>q</m:t>
        </m:r>
        <m:r>
          <m:rPr>
            <m:sty m:val="p"/>
          </m:rPr>
          <m:t>∈</m:t>
        </m:r>
        <m:r>
          <m:t>Q</m:t>
        </m:r>
      </m:oMath>
      <w:r>
        <w:t xml:space="preserve">, and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Disjunctive model</w:t>
      </w:r>
      <w:r>
        <w:t xml:space="preserve"> </w:t>
      </w:r>
      <w:r>
        <w:t xml:space="preserve">Any skill</w:t>
      </w:r>
      <w:r>
        <w:t xml:space="preserve"> </w:t>
      </w:r>
      <m:oMath>
        <m:r>
          <m:t>s</m:t>
        </m:r>
        <m:r>
          <m:rPr>
            <m:sty m:val="p"/>
          </m:rPr>
          <m:t>∈</m:t>
        </m:r>
        <m:r>
          <m:t>τ</m:t>
        </m:r>
        <m:r>
          <m:rPr>
            <m:sty m:val="p"/>
          </m:rPr>
          <m:t>(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is sufficient for solving item</w:t>
      </w:r>
      <w:r>
        <w:t xml:space="preserve"> </w:t>
      </w:r>
      <m:oMath>
        <m:r>
          <m:t>q</m:t>
        </m:r>
        <m:r>
          <m:rPr>
            <m:sty m:val="p"/>
          </m:rPr>
          <m:t>∈</m:t>
        </m:r>
        <m:r>
          <m:t>Q</m:t>
        </m:r>
      </m:oMath>
      <w:r>
        <w:t xml:space="preserve">.</w:t>
      </w:r>
    </w:p>
    <w:p>
      <w:pPr>
        <w:pStyle w:val="FirstParagraph"/>
      </w:pPr>
      <w:r>
        <w:t xml:space="preserve">For the conjunctive model, the knowledge state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of a person in the skill state</w:t>
      </w:r>
      <w:r>
        <w:t xml:space="preserve"> </w:t>
      </w:r>
      <m:oMath>
        <m:r>
          <m:t>T</m:t>
        </m:r>
        <m:r>
          <m:rPr>
            <m:sty m:val="p"/>
          </m:rPr>
          <m:t>⊆</m:t>
        </m:r>
        <m:r>
          <m:t>S</m:t>
        </m:r>
      </m:oMath>
      <w:r>
        <w:t xml:space="preserve"> </w:t>
      </w:r>
      <w:r>
        <w:t xml:space="preserve">is delineated by</w:t>
      </w:r>
    </w:p>
    <w:p>
      <w:pPr>
        <w:pStyle w:val="BodyText"/>
      </w:pPr>
      <m:oMathPara>
        <m:oMathParaPr>
          <m:jc m:val="center"/>
        </m:oMathParaPr>
        <m:oMath>
          <m:r>
            <m:t>K</m:t>
          </m:r>
          <m:r>
            <m:rPr>
              <m:sty m:val="p"/>
            </m:rPr>
            <m:t>=</m:t>
          </m:r>
          <m:r>
            <m:rPr>
              <m:sty m:val="p"/>
            </m:rPr>
            <m:t>{</m:t>
          </m:r>
          <m:r>
            <m:t>q</m:t>
          </m:r>
          <m:r>
            <m:rPr>
              <m:sty m:val="p"/>
            </m:rPr>
            <m:t>∈</m:t>
          </m:r>
          <m:r>
            <m:t>Q</m:t>
          </m:r>
          <m:r>
            <m:rPr>
              <m:sty m:val="p"/>
            </m:rPr>
            <m:t>∣</m:t>
          </m:r>
          <m:r>
            <m:t>τ</m:t>
          </m:r>
          <m:r>
            <m:rPr>
              <m:sty m:val="p"/>
            </m:rPr>
            <m:t>(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⊆</m:t>
          </m:r>
          <m:r>
            <m:t>T</m:t>
          </m:r>
          <m:r>
            <m:rPr>
              <m:sty m:val="p"/>
            </m:rPr>
            <m:t>}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collection of all knowledge states delineated by some</w:t>
      </w:r>
      <w:r>
        <w:t xml:space="preserve"> </w:t>
      </w:r>
      <m:oMath>
        <m:r>
          <m:t>T</m:t>
        </m:r>
        <m:r>
          <m:rPr>
            <m:sty m:val="p"/>
          </m:rPr>
          <m:t>⊆</m:t>
        </m:r>
        <m:r>
          <m:t>S</m:t>
        </m:r>
      </m:oMath>
      <w:r>
        <w:t xml:space="preserve"> </w:t>
      </w:r>
      <w:r>
        <w:t xml:space="preserve">is the knowledge structure delineated by the</w:t>
      </w:r>
      <w:r>
        <w:t xml:space="preserve"> </w:t>
      </w:r>
      <w:r>
        <w:t xml:space="preserve">skill map</w:t>
      </w:r>
      <w:r>
        <w:t xml:space="preserve"> </w:t>
      </w:r>
      <m:oMath>
        <m:r>
          <m:rPr>
            <m:sty m:val="p"/>
          </m:rPr>
          <m:t>(</m:t>
        </m:r>
        <m:r>
          <m:t>Q</m:t>
        </m:r>
        <m:r>
          <m:rPr>
            <m:sty m:val="p"/>
          </m:rPr>
          <m:t>,</m:t>
        </m:r>
        <m:r>
          <m:t>S</m:t>
        </m:r>
        <m:r>
          <m:rPr>
            <m:sty m:val="p"/>
          </m:rPr>
          <m:t>,</m:t>
        </m:r>
        <m:r>
          <m:t>τ</m:t>
        </m:r>
        <m:r>
          <m:rPr>
            <m:sty m:val="p"/>
          </m:rPr>
          <m:t>)</m:t>
        </m:r>
      </m:oMath>
      <w:r>
        <w:t xml:space="preserve">. In the conjunctive model, this knowledge structure is closed under intersection; in the</w:t>
      </w:r>
      <w:r>
        <w:t xml:space="preserve"> </w:t>
      </w:r>
      <w:r>
        <w:t xml:space="preserve">disjunctive model, the delineated knowledge structure is closed under union.</w:t>
      </w:r>
    </w:p>
    <w:p>
      <w:pPr>
        <w:pStyle w:val="BodyText"/>
      </w:pPr>
      <w:r>
        <w:t xml:space="preserve">Like surmise relations in classical KST, skill maps do not provide for test items with different solution paths involving</w:t>
      </w:r>
      <w:r>
        <w:t xml:space="preserve"> </w:t>
      </w:r>
      <w:r>
        <w:t xml:space="preserve">different prerequisites. The solution for this are</w:t>
      </w:r>
      <w:r>
        <w:t xml:space="preserve"> </w:t>
      </w:r>
      <w:r>
        <w:rPr>
          <w:i/>
          <w:iCs/>
        </w:rPr>
        <w:t xml:space="preserve">skill multimaps</w:t>
      </w:r>
      <w:r>
        <w:t xml:space="preserve">. A skill multimap is a triple</w:t>
      </w:r>
      <w:r>
        <w:t xml:space="preserve"> </w:t>
      </w:r>
      <m:oMath>
        <m:r>
          <m:rPr>
            <m:sty m:val="p"/>
          </m:rPr>
          <m:t>(</m:t>
        </m:r>
        <m:r>
          <m:t>Q</m:t>
        </m:r>
        <m:r>
          <m:rPr>
            <m:sty m:val="p"/>
          </m:rPr>
          <m:t>,</m:t>
        </m:r>
        <m:r>
          <m:t>S</m:t>
        </m:r>
        <m:r>
          <m:rPr>
            <m:sty m:val="p"/>
          </m:rPr>
          <m:t>,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where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a mapping</w:t>
      </w:r>
      <w:r>
        <w:t xml:space="preserve"> </w:t>
      </w:r>
      <w:r>
        <w:t xml:space="preserve">assigning to each</w:t>
      </w:r>
      <w:r>
        <w:t xml:space="preserve"> </w:t>
      </w:r>
      <m:oMath>
        <m:r>
          <m:t>q</m:t>
        </m:r>
        <m:r>
          <m:rPr>
            <m:sty m:val="p"/>
          </m:rPr>
          <m:t>∈</m:t>
        </m:r>
        <m:r>
          <m:t>Q</m:t>
        </m:r>
      </m:oMath>
      <w:r>
        <w:t xml:space="preserve"> </w:t>
      </w:r>
      <w:r>
        <w:t xml:space="preserve">a non-empty collection of non-empty subsets of</w:t>
      </w:r>
      <w:r>
        <w:t xml:space="preserve"> </w:t>
      </w:r>
      <m:oMath>
        <m:r>
          <m:t>S</m:t>
        </m:r>
      </m:oMath>
      <w:r>
        <w:t xml:space="preserve">. The subsets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t>μ</m:t>
        </m:r>
        <m:r>
          <m:rPr>
            <m:sty m:val="p"/>
          </m:rPr>
          <m:t>(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are called</w:t>
      </w:r>
      <w:r>
        <w:t xml:space="preserve"> </w:t>
      </w:r>
      <w:r>
        <w:rPr>
          <w:i/>
          <w:iCs/>
        </w:rPr>
        <w:t xml:space="preserve">competencies</w:t>
      </w:r>
      <w:r>
        <w:t xml:space="preserve">. For skill multimaps, there is only one interpretation: In order to be able to solve item</w:t>
      </w:r>
      <w:r>
        <w:t xml:space="preserve"> </w:t>
      </w:r>
      <m:oMath>
        <m:r>
          <m:t>q</m:t>
        </m:r>
      </m:oMath>
      <w:r>
        <w:t xml:space="preserve">, a person must</w:t>
      </w:r>
      <w:r>
        <w:t xml:space="preserve"> </w:t>
      </w:r>
      <w:r>
        <w:t xml:space="preserve">possess all skills</w:t>
      </w:r>
      <w:r>
        <w:t xml:space="preserve"> </w:t>
      </w:r>
      <m:oMath>
        <m:r>
          <m:t>s</m:t>
        </m:r>
        <m:r>
          <m:rPr>
            <m:sty m:val="p"/>
          </m:rPr>
          <m:t>∈</m:t>
        </m:r>
        <m:r>
          <m:t>C</m:t>
        </m:r>
      </m:oMath>
      <w:r>
        <w:t xml:space="preserve"> </w:t>
      </w:r>
      <w:r>
        <w:t xml:space="preserve">for at least one competency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t>μ</m:t>
        </m:r>
        <m:r>
          <m:rPr>
            <m:sty m:val="p"/>
          </m:rPr>
          <m:t>(</m:t>
        </m:r>
        <m:r>
          <m:t>q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The knowledge state delineated by a subset</w:t>
      </w:r>
      <w:r>
        <w:t xml:space="preserve"> </w:t>
      </w:r>
      <m:oMath>
        <m:r>
          <m:t>T</m:t>
        </m:r>
        <m:r>
          <m:rPr>
            <m:sty m:val="p"/>
          </m:rPr>
          <m:t>⊆</m:t>
        </m:r>
        <m:r>
          <m:t>S</m:t>
        </m:r>
      </m:oMath>
      <w:r>
        <w:t xml:space="preserve"> </w:t>
      </w:r>
      <w:r>
        <w:t xml:space="preserve">of skills is given by</w:t>
      </w:r>
    </w:p>
    <w:p>
      <w:pPr>
        <w:pStyle w:val="BodyText"/>
      </w:pPr>
      <m:oMathPara>
        <m:oMathParaPr>
          <m:jc m:val="center"/>
        </m:oMathParaPr>
        <m:oMath>
          <m:r>
            <m:t>K</m:t>
          </m:r>
          <m:r>
            <m:rPr>
              <m:sty m:val="p"/>
            </m:rPr>
            <m:t>=</m:t>
          </m:r>
          <m:r>
            <m:rPr>
              <m:sty m:val="p"/>
            </m:rPr>
            <m:t>{</m:t>
          </m:r>
          <m:r>
            <m:t>q</m:t>
          </m:r>
          <m:r>
            <m:rPr>
              <m:sty m:val="p"/>
            </m:rPr>
            <m:t>∈</m:t>
          </m:r>
          <m:r>
            <m:t>Q</m:t>
          </m:r>
          <m:r>
            <m:rPr>
              <m:sty m:val="p"/>
            </m:rPr>
            <m:t>∣</m:t>
          </m:r>
          <m:r>
            <m:t>C</m:t>
          </m:r>
          <m:r>
            <m:rPr>
              <m:sty m:val="p"/>
            </m:rPr>
            <m:t>⊆</m:t>
          </m:r>
          <m:r>
            <m:t>T</m:t>
          </m:r>
          <m:r>
            <m:rPr>
              <m:nor/>
              <m:sty m:val="p"/>
            </m:rPr>
            <m:t> for some </m:t>
          </m:r>
          <m:r>
            <m:t>C</m:t>
          </m:r>
          <m:r>
            <m:rPr>
              <m:sty m:val="p"/>
            </m:rPr>
            <m:t>∈</m:t>
          </m:r>
          <m:r>
            <m:t>μ</m:t>
          </m:r>
          <m:r>
            <m:rPr>
              <m:sty m:val="p"/>
            </m:rPr>
            <m:t>(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}</m:t>
          </m:r>
          <m:r>
            <m:rPr>
              <m:sty m:val="p"/>
            </m:rPr>
            <m:t>.</m:t>
          </m:r>
        </m:oMath>
      </m:oMathPara>
    </w:p>
    <w:bookmarkEnd w:id="21"/>
    <w:bookmarkStart w:id="22" w:name="pks"/>
    <w:p>
      <w:pPr>
        <w:pStyle w:val="Heading2"/>
      </w:pPr>
      <w:r>
        <w:rPr>
          <w:rStyle w:val="SectionNumber"/>
        </w:rPr>
        <w:t xml:space="preserve">2.2</w:t>
      </w:r>
      <w:r>
        <w:tab/>
      </w:r>
      <w:r>
        <w:t xml:space="preserve">Probabilistic knowledge spaces</w:t>
      </w:r>
    </w:p>
    <w:p>
      <w:pPr>
        <w:pStyle w:val="FirstParagraph"/>
      </w:pPr>
      <w:r>
        <w:t xml:space="preserve">Pure KST is deterministic. However, this is unrealistic when regarding students’ response behavior to test items. Careless</w:t>
      </w:r>
      <w:r>
        <w:t xml:space="preserve"> </w:t>
      </w:r>
      <w:r>
        <w:t xml:space="preserve">errors and lucky guesses occur. In probabilistic KST, this is treated with the</w:t>
      </w:r>
      <w:r>
        <w:t xml:space="preserve"> </w:t>
      </w:r>
      <w:r>
        <w:rPr>
          <w:i/>
          <w:iCs/>
        </w:rPr>
        <w:t xml:space="preserve">Basic Local Independence Model</w:t>
      </w:r>
      <w:r>
        <w:t xml:space="preserve"> </w:t>
      </w:r>
      <w:r>
        <w:t xml:space="preserve">(BLIM).</w:t>
      </w:r>
      <w:r>
        <w:t xml:space="preserve"> </w:t>
      </w:r>
      <w:r>
        <w:t xml:space="preserve">The assumption underlying he BLIM is that this noise depends only on the individual items. Starting with an estimated</w:t>
      </w:r>
      <w:r>
        <w:t xml:space="preserve"> </w:t>
      </w:r>
      <w:r>
        <w:t xml:space="preserve">probability distribution over the knowledge structure (i.e. the probability for each knowledge state to be the learner’s state),</w:t>
      </w:r>
      <w:r>
        <w:t xml:space="preserve"> </w:t>
      </w:r>
      <w:r>
        <w:t xml:space="preserve">the probability to observe a response pattern</w:t>
      </w:r>
      <w:r>
        <w:t xml:space="preserve"> </w:t>
      </w:r>
      <m:oMath>
        <m:r>
          <m:t>R</m:t>
        </m:r>
        <m:r>
          <m:rPr>
            <m:sty m:val="p"/>
          </m:rPr>
          <m:t>⊆</m:t>
        </m:r>
        <m:r>
          <m:t>Q</m:t>
        </m:r>
      </m:oMath>
      <w:r>
        <w:t xml:space="preserve"> </w:t>
      </w:r>
      <w:r>
        <w:t xml:space="preserve">given a knowledge state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cr m:val="script"/>
            <m:sty m:val="p"/>
          </m:rPr>
          <m:t>K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R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t>P</m:t>
        </m:r>
        <m:r>
          <m:rPr>
            <m:sty m:val="p"/>
          </m:rPr>
          <m:t>(</m:t>
        </m:r>
        <m:r>
          <m:t>R</m:t>
        </m:r>
        <m:r>
          <m:rPr>
            <m:sty m:val="p"/>
          </m:rPr>
          <m:t>|</m:t>
        </m:r>
        <m:r>
          <m:t>K</m:t>
        </m:r>
        <m:r>
          <m:rPr>
            <m:sty m:val="p"/>
          </m:rPr>
          <m:t>)</m:t>
        </m:r>
      </m:oMath>
      <w:r>
        <w:t xml:space="preserve">. If</w:t>
      </w:r>
      <w:r>
        <w:t xml:space="preserve"> </w:t>
      </w:r>
      <m:oMath>
        <m:sSub>
          <m:e>
            <m:r>
              <m:t>β</m:t>
            </m:r>
          </m:e>
          <m:sub>
            <m:r>
              <m:t>q</m:t>
            </m:r>
          </m:sub>
        </m:sSub>
      </m:oMath>
      <w:r>
        <w:t xml:space="preserve"> </w:t>
      </w:r>
      <w:r>
        <w:t xml:space="preserve">denotes the probability for a careless error answering item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η</m:t>
            </m:r>
          </m:e>
          <m:sub>
            <m:r>
              <m:t>q</m:t>
            </m:r>
          </m:sub>
        </m:sSub>
      </m:oMath>
      <w:r>
        <w:t xml:space="preserve"> </w:t>
      </w:r>
      <w:r>
        <w:t xml:space="preserve">denotes</w:t>
      </w:r>
      <w:r>
        <w:t xml:space="preserve"> </w:t>
      </w:r>
      <w:r>
        <w:t xml:space="preserve">the probability for a lucky guess, this leads to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r>
            <m:rPr>
              <m:sty m:val="p"/>
            </m:rPr>
            <m:t>(</m:t>
          </m:r>
          <m:r>
            <m:t>R</m:t>
          </m:r>
          <m:r>
            <m:rPr>
              <m:sty m:val="p"/>
            </m:rPr>
            <m:t>|</m:t>
          </m:r>
          <m:r>
            <m:t>K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∏"/>
              <m:limLoc m:val="undOvr"/>
              <m:subHide m:val="off"/>
              <m:supHide m:val="on"/>
            </m:naryPr>
            <m:sub>
              <m:r>
                <m:t>q</m:t>
              </m:r>
              <m:r>
                <m:rPr>
                  <m:sty m:val="p"/>
                </m:rPr>
                <m:t>∈</m:t>
              </m:r>
              <m:r>
                <m:t>R</m:t>
              </m:r>
              <m:r>
                <m:rPr>
                  <m:sty m:val="p"/>
                </m:rPr>
                <m:t>∩</m:t>
              </m:r>
              <m:r>
                <m:t>K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(</m:t>
              </m:r>
            </m:e>
          </m:nary>
          <m:r>
            <m:t>1</m:t>
          </m:r>
          <m:r>
            <m:rPr>
              <m:sty m:val="p"/>
            </m:rPr>
            <m:t>−</m:t>
          </m:r>
          <m:sSub>
            <m:e>
              <m:r>
                <m:t>β</m:t>
              </m:r>
            </m:e>
            <m:sub>
              <m:r>
                <m:t>q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⋅</m:t>
          </m:r>
          <m:nary>
            <m:naryPr>
              <m:chr m:val="∏"/>
              <m:limLoc m:val="undOvr"/>
              <m:subHide m:val="off"/>
              <m:supHide m:val="on"/>
            </m:naryPr>
            <m:sub>
              <m:r>
                <m:t>q</m:t>
              </m:r>
              <m:r>
                <m:rPr>
                  <m:sty m:val="p"/>
                </m:rPr>
                <m:t>∈</m:t>
              </m:r>
              <m:r>
                <m:t>K</m:t>
              </m:r>
              <m:r>
                <m:rPr>
                  <m:sty m:val="p"/>
                </m:rPr>
                <m:t>\</m:t>
              </m:r>
              <m:r>
                <m:t>R</m:t>
              </m:r>
            </m:sub>
            <m:sup>
              <m:r>
                <m:t>​</m:t>
              </m:r>
            </m:sup>
            <m:e>
              <m:sSub>
                <m:e>
                  <m:r>
                    <m:t>β</m:t>
                  </m:r>
                </m:e>
                <m:sub>
                  <m:r>
                    <m:t>q</m:t>
                  </m:r>
                </m:sub>
              </m:sSub>
            </m:e>
          </m:nary>
          <m:r>
            <m:rPr>
              <m:sty m:val="p"/>
            </m:rPr>
            <m:t>⋅</m:t>
          </m:r>
          <m:nary>
            <m:naryPr>
              <m:chr m:val="∏"/>
              <m:limLoc m:val="undOvr"/>
              <m:subHide m:val="off"/>
              <m:supHide m:val="on"/>
            </m:naryPr>
            <m:sub>
              <m:r>
                <m:t>q</m:t>
              </m:r>
              <m:r>
                <m:rPr>
                  <m:sty m:val="p"/>
                </m:rPr>
                <m:t>∈</m:t>
              </m:r>
              <m:r>
                <m:t>R</m:t>
              </m:r>
              <m:r>
                <m:rPr>
                  <m:sty m:val="p"/>
                </m:rPr>
                <m:t>\</m:t>
              </m:r>
              <m:r>
                <m:t>K</m:t>
              </m:r>
            </m:sub>
            <m:sup>
              <m:r>
                <m:t>​</m:t>
              </m:r>
            </m:sup>
            <m:e>
              <m:sSub>
                <m:e>
                  <m:r>
                    <m:t>η</m:t>
                  </m:r>
                </m:e>
                <m:sub>
                  <m:r>
                    <m:t>q</m:t>
                  </m:r>
                </m:sub>
              </m:sSub>
            </m:e>
          </m:nary>
          <m:r>
            <m:rPr>
              <m:sty m:val="p"/>
            </m:rPr>
            <m:t>⋅</m:t>
          </m:r>
          <m:nary>
            <m:naryPr>
              <m:chr m:val="∏"/>
              <m:limLoc m:val="undOvr"/>
              <m:subHide m:val="off"/>
              <m:supHide m:val="on"/>
            </m:naryPr>
            <m:sub>
              <m:r>
                <m:t>q</m:t>
              </m:r>
              <m:r>
                <m:rPr>
                  <m:sty m:val="p"/>
                </m:rPr>
                <m:t>∈</m:t>
              </m:r>
              <m:acc>
                <m:accPr>
                  <m:chr m:val="‾"/>
                </m:accPr>
                <m:e>
                  <m:r>
                    <m:t>R</m:t>
                  </m:r>
                </m:e>
              </m:acc>
              <m:r>
                <m:rPr>
                  <m:sty m:val="p"/>
                </m:rPr>
                <m:t>∩</m:t>
              </m:r>
              <m:acc>
                <m:accPr>
                  <m:chr m:val="‾"/>
                </m:accPr>
                <m:e>
                  <m:r>
                    <m:t>K</m:t>
                  </m:r>
                </m:e>
              </m:acc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(</m:t>
              </m:r>
            </m:e>
          </m:nary>
          <m:r>
            <m:t>1</m:t>
          </m:r>
          <m:r>
            <m:rPr>
              <m:sty m:val="p"/>
            </m:rPr>
            <m:t>−</m:t>
          </m:r>
          <m:sSub>
            <m:e>
              <m:r>
                <m:t>η</m:t>
              </m:r>
            </m:e>
            <m:sub>
              <m:r>
                <m:t>q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On the one side, the BLIM can be used for probabilistic knowledge assessment (</w:t>
      </w:r>
      <w:r>
        <w:t xml:space="preserve">Falmagne and Doignon (</w:t>
      </w:r>
      <w:hyperlink w:anchor="ref-falmagne:88a">
        <w:r>
          <w:rPr>
            <w:rStyle w:val="Hyperlink"/>
          </w:rPr>
          <w:t xml:space="preserve">1988a</w:t>
        </w:r>
      </w:hyperlink>
      <w:r>
        <w:t xml:space="preserve">)</w:t>
      </w:r>
      <w:r>
        <w:t xml:space="preserve">). On the other side, it can</w:t>
      </w:r>
      <w:r>
        <w:t xml:space="preserve"> </w:t>
      </w:r>
      <w:r>
        <w:t xml:space="preserve">also be used for simulating response patterns. The identifiability of the BLIM is a current research issue.</w:t>
      </w:r>
    </w:p>
    <w:bookmarkEnd w:id="22"/>
    <w:bookmarkEnd w:id="23"/>
    <w:bookmarkStart w:id="63" w:name="general"/>
    <w:p>
      <w:pPr>
        <w:pStyle w:val="Heading1"/>
      </w:pPr>
      <w:r>
        <w:rPr>
          <w:rStyle w:val="SectionNumber"/>
        </w:rPr>
        <w:t xml:space="preserve">3</w:t>
      </w:r>
      <w:r>
        <w:tab/>
      </w:r>
      <w:r>
        <w:t xml:space="preserve">General functionalities</w:t>
      </w:r>
    </w:p>
    <w:bookmarkStart w:id="30" w:name="kstpkg"/>
    <w:p>
      <w:pPr>
        <w:pStyle w:val="Heading2"/>
      </w:pPr>
      <w:r>
        <w:rPr>
          <w:rStyle w:val="SectionNumber"/>
        </w:rPr>
        <w:t xml:space="preserve">3.1</w:t>
      </w:r>
      <w:r>
        <w:tab/>
      </w:r>
      <w:r>
        <w:rPr>
          <w:rStyle w:val="VerbatimChar"/>
        </w:rPr>
        <w:t xml:space="preserve">kst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kst</w:t>
      </w:r>
      <w:r>
        <w:t xml:space="preserve"> </w:t>
      </w:r>
      <w:r>
        <w:t xml:space="preserve">package</w:t>
      </w:r>
      <w:r>
        <w:t xml:space="preserve"> </w:t>
      </w:r>
      <w:r>
        <w:t xml:space="preserve">(</w:t>
      </w:r>
      <w:hyperlink w:anchor="ref-stahl:kst">
        <w:r>
          <w:rPr>
            <w:rStyle w:val="Hyperlink"/>
          </w:rPr>
          <w:t xml:space="preserve">Stahl et al. 2026</w:t>
        </w:r>
      </w:hyperlink>
      <w:r>
        <w:t xml:space="preserve">;</w:t>
      </w:r>
      <w:r>
        <w:t xml:space="preserve"> </w:t>
      </w:r>
      <w:hyperlink w:anchor="ref-stahl:diss">
        <w:r>
          <w:rPr>
            <w:rStyle w:val="Hyperlink"/>
          </w:rPr>
          <w:t xml:space="preserve">Stahl 2008</w:t>
        </w:r>
      </w:hyperlink>
      <w:r>
        <w:t xml:space="preserve">)</w:t>
      </w:r>
      <w:r>
        <w:t xml:space="preserve"> </w:t>
      </w:r>
      <w:r>
        <w:t xml:space="preserve">is a kind of starting point offering basic functionalities for the</w:t>
      </w:r>
      <w:r>
        <w:t xml:space="preserve"> </w:t>
      </w:r>
      <w:r>
        <w:t xml:space="preserve">work with knowledge spaces. The implementation is insofar close to the theory as it uses the</w:t>
      </w:r>
      <w:r>
        <w:t xml:space="preserve"> </w:t>
      </w:r>
      <w:r>
        <w:rPr>
          <w:rStyle w:val="VerbatimChar"/>
        </w:rPr>
        <w:t xml:space="preserve">sets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relations</w:t>
      </w:r>
      <w:r>
        <w:t xml:space="preserve"> </w:t>
      </w:r>
      <w:r>
        <w:t xml:space="preserve">packages by David Mayer. The</w:t>
      </w:r>
      <w:r>
        <w:t xml:space="preserve"> </w:t>
      </w:r>
      <w:r>
        <w:rPr>
          <w:rStyle w:val="VerbatimChar"/>
        </w:rPr>
        <w:t xml:space="preserve">kst</w:t>
      </w:r>
      <w:r>
        <w:t xml:space="preserve"> </w:t>
      </w:r>
      <w:r>
        <w:t xml:space="preserve">package uses S3 classes (i) to make sure the corect object types</w:t>
      </w:r>
      <w:r>
        <w:t xml:space="preserve"> </w:t>
      </w:r>
      <w:r>
        <w:t xml:space="preserve">are passed to the functions and (ii) to be able to use generic methods like</w:t>
      </w:r>
      <w:r>
        <w:t xml:space="preserve"> </w:t>
      </w:r>
      <w:r>
        <w:rPr>
          <w:rStyle w:val="VerbatimChar"/>
        </w:rPr>
        <w:t xml:space="preserve">print()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plot()</w:t>
      </w:r>
      <w:r>
        <w:t xml:space="preserve">. Figure 2 shows the</w:t>
      </w:r>
      <w:r>
        <w:t xml:space="preserve"> </w:t>
      </w:r>
      <w:r>
        <w:t xml:space="preserve">hierarchy of object classes in the</w:t>
      </w:r>
      <w:r>
        <w:t xml:space="preserve"> </w:t>
      </w:r>
      <w:r>
        <w:rPr>
          <w:rStyle w:val="VerbatimChar"/>
        </w:rPr>
        <w:t xml:space="preserve">kst</w:t>
      </w:r>
      <w:r>
        <w:t xml:space="preserve"> </w:t>
      </w:r>
      <w:r>
        <w:t xml:space="preserve">package.</w:t>
      </w:r>
    </w:p>
    <w:p>
      <w:pPr>
        <w:pStyle w:val="CaptionedFigure"/>
      </w:pPr>
      <w:r>
        <w:drawing>
          <wp:inline>
            <wp:extent cx="1866900" cy="1441815"/>
            <wp:effectExtent b="0" l="0" r="0" t="0"/>
            <wp:docPr descr="Object classes in the kstpackage" title="" id="25" name="Picture"/>
            <a:graphic>
              <a:graphicData uri="http://schemas.openxmlformats.org/drawingml/2006/picture">
                <pic:pic>
                  <pic:nvPicPr>
                    <pic:cNvPr descr="Hockemeyer_KST-R_files/figures/kstClasses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441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Object classes in the</w:t>
      </w:r>
      <w:r>
        <w:t xml:space="preserve"> </w:t>
      </w:r>
      <w:r>
        <w:rPr>
          <w:rStyle w:val="VerbatimChar"/>
        </w:rPr>
        <w:t xml:space="preserve">kst</w:t>
      </w:r>
      <w:r>
        <w:t xml:space="preserve">package</w:t>
      </w:r>
    </w:p>
    <w:p>
      <w:pPr>
        <w:pStyle w:val="BodyText"/>
      </w:pPr>
      <w:r>
        <w:t xml:space="preserve">All classes are sub classes of</w:t>
      </w:r>
      <w:r>
        <w:t xml:space="preserve"> </w:t>
      </w:r>
      <w:r>
        <w:rPr>
          <w:rStyle w:val="VerbatimChar"/>
        </w:rPr>
        <w:t xml:space="preserve">set</w:t>
      </w:r>
      <w:r>
        <w:t xml:space="preserve">. A core class is</w:t>
      </w:r>
      <w:r>
        <w:t xml:space="preserve"> </w:t>
      </w:r>
      <w:r>
        <w:rPr>
          <w:rStyle w:val="VerbatimChar"/>
        </w:rPr>
        <w:t xml:space="preserve">kfamset</w:t>
      </w:r>
      <w:r>
        <w:t xml:space="preserve"> </w:t>
      </w:r>
      <w:r>
        <w:t xml:space="preserve">which describes a family of sets. Special cases are</w:t>
      </w:r>
      <w:r>
        <w:t xml:space="preserve"> </w:t>
      </w:r>
      <w:r>
        <w:rPr>
          <w:rStyle w:val="VerbatimChar"/>
        </w:rPr>
        <w:t xml:space="preserve">kbasis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kstructure</w:t>
      </w:r>
      <w:r>
        <w:t xml:space="preserve">, the latter again having a special case in</w:t>
      </w:r>
      <w:r>
        <w:t xml:space="preserve"> </w:t>
      </w:r>
      <w:r>
        <w:rPr>
          <w:rStyle w:val="VerbatimChar"/>
        </w:rPr>
        <w:t xml:space="preserve">kspace</w:t>
      </w:r>
      <w:r>
        <w:t xml:space="preserve">. Somewhat separated is the</w:t>
      </w:r>
      <w:r>
        <w:t xml:space="preserve"> </w:t>
      </w:r>
      <w:r>
        <w:rPr>
          <w:rStyle w:val="VerbatimChar"/>
        </w:rPr>
        <w:t xml:space="preserve">lpath</w:t>
      </w:r>
      <w:r>
        <w:t xml:space="preserve"> </w:t>
      </w:r>
      <w:r>
        <w:t xml:space="preserve">class describing a</w:t>
      </w:r>
      <w:r>
        <w:t xml:space="preserve"> </w:t>
      </w:r>
      <w:r>
        <w:t xml:space="preserve">learning path.</w:t>
      </w:r>
    </w:p>
    <w:p>
      <w:pPr>
        <w:pStyle w:val="BodyText"/>
      </w:pPr>
      <w:r>
        <w:t xml:space="preserve">Working with</w:t>
      </w:r>
      <w:r>
        <w:t xml:space="preserve"> </w:t>
      </w:r>
      <w:r>
        <w:rPr>
          <w:rStyle w:val="VerbatimChar"/>
        </w:rPr>
        <w:t xml:space="preserve">kst</w:t>
      </w:r>
      <w:r>
        <w:t xml:space="preserve">, the first step for us is to convert our example into set notation.</w:t>
      </w:r>
    </w:p>
    <w:p>
      <w:pPr>
        <w:pStyle w:val="SourceCode"/>
      </w:pPr>
      <w:r>
        <w:rPr>
          <w:rStyle w:val="NormalTok"/>
        </w:rPr>
        <w:t xml:space="preserve">kf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as.famset</w:t>
      </w:r>
      <w:r>
        <w:rPr>
          <w:rStyle w:val="NormalTok"/>
        </w:rPr>
        <w:t xml:space="preserve">(phsg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basis)</w:t>
      </w:r>
      <w:r>
        <w:br/>
      </w:r>
      <w:r>
        <w:rPr>
          <w:rStyle w:val="NormalTok"/>
        </w:rPr>
        <w:t xml:space="preserve">kf</w:t>
      </w:r>
      <w:r>
        <w:br/>
      </w:r>
      <w:r>
        <w:rPr>
          <w:rStyle w:val="CommentTok"/>
        </w:rPr>
        <w:t xml:space="preserve">#&gt; {{"I1"}, {"I2"}, {"I3"}, {"I2", "I5"}, {"I3", "I6"},</w:t>
      </w:r>
      <w:r>
        <w:br/>
      </w:r>
      <w:r>
        <w:rPr>
          <w:rStyle w:val="CommentTok"/>
        </w:rPr>
        <w:t xml:space="preserve">#&gt;  {"I1", "I2", "I3", "I4"}, &lt;&lt;set(7)&gt;&gt;}</w:t>
      </w:r>
    </w:p>
    <w:p>
      <w:pPr>
        <w:pStyle w:val="FirstParagraph"/>
      </w:pPr>
      <w:r>
        <w:t xml:space="preserve">By default, sets with more than five elements are not fully printed as can be seen above. This behavior can be changed</w:t>
      </w:r>
      <w:r>
        <w:t xml:space="preserve"> </w:t>
      </w:r>
      <w:r>
        <w:t xml:space="preserve">by passing a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 </w:t>
      </w:r>
      <w:r>
        <w:t xml:space="preserve">parameter to the</w:t>
      </w:r>
      <w:r>
        <w:t xml:space="preserve"> </w:t>
      </w:r>
      <w:r>
        <w:rPr>
          <w:rStyle w:val="VerbatimChar"/>
        </w:rPr>
        <w:t xml:space="preserve">print()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plot()</w:t>
      </w:r>
      <w:r>
        <w:t xml:space="preserve"> </w:t>
      </w:r>
      <w:r>
        <w:t xml:space="preserve">functions.</w:t>
      </w:r>
    </w:p>
    <w:p>
      <w:pPr>
        <w:pStyle w:val="SourceCode"/>
      </w:pPr>
      <w:r>
        <w:rPr>
          <w:rStyle w:val="FunctionTok"/>
        </w:rPr>
        <w:t xml:space="preserve">plot</w:t>
      </w:r>
      <w:r>
        <w:rPr>
          <w:rStyle w:val="NormalTok"/>
        </w:rPr>
        <w:t xml:space="preserve">(kf, </w:t>
      </w:r>
      <w:r>
        <w:rPr>
          <w:rStyle w:val="AttributeTok"/>
        </w:rPr>
        <w:t xml:space="preserve">main=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limit=</w:t>
      </w:r>
      <w:r>
        <w:rPr>
          <w:rStyle w:val="DecValTok"/>
        </w:rPr>
        <w:t xml:space="preserve">8</w:t>
      </w:r>
      <w:r>
        <w:rPr>
          <w:rStyle w:val="NormalTok"/>
        </w:rPr>
        <w:t xml:space="preserve">)</w:t>
      </w:r>
    </w:p>
    <w:p>
      <w:pPr>
        <w:pStyle w:val="CaptionedFigure"/>
      </w:pPr>
      <w:r>
        <w:drawing>
          <wp:inline>
            <wp:extent cx="2400300" cy="1920240"/>
            <wp:effectExtent b="0" l="0" r="0" t="0"/>
            <wp:docPr descr="Plotting a family fo sets with the kst package" title="" id="28" name="Picture"/>
            <a:graphic>
              <a:graphicData uri="http://schemas.openxmlformats.org/drawingml/2006/picture">
                <pic:pic>
                  <pic:nvPicPr>
                    <pic:cNvPr descr="Hockemeyer_KST-R_files/Hockemeyer_KST-R_files/figure-docx/plotset-1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9202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Plotting a family fo sets with the</w:t>
      </w:r>
      <w:r>
        <w:t xml:space="preserve"> </w:t>
      </w:r>
      <w:r>
        <w:rPr>
          <w:rStyle w:val="VerbatimChar"/>
        </w:rPr>
        <w:t xml:space="preserve">kst</w:t>
      </w:r>
      <w:r>
        <w:t xml:space="preserve"> </w:t>
      </w:r>
      <w:r>
        <w:t xml:space="preserve">package</w:t>
      </w:r>
    </w:p>
    <w:p>
      <w:pPr>
        <w:pStyle w:val="BodyText"/>
      </w:pPr>
      <w:r>
        <w:t xml:space="preserve">We can then stepwise derive a knowledge space and, from that, a basis.</w:t>
      </w:r>
    </w:p>
    <w:p>
      <w:pPr>
        <w:pStyle w:val="SourceCode"/>
      </w:pPr>
      <w:r>
        <w:rPr>
          <w:rStyle w:val="NormalTok"/>
        </w:rPr>
        <w:t xml:space="preserve">ks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kspace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kstructure</w:t>
      </w:r>
      <w:r>
        <w:rPr>
          <w:rStyle w:val="NormalTok"/>
        </w:rPr>
        <w:t xml:space="preserve">(kf))</w:t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(ks, </w:t>
      </w:r>
      <w:r>
        <w:rPr>
          <w:rStyle w:val="AttributeTok"/>
        </w:rPr>
        <w:t xml:space="preserve">limit=</w:t>
      </w:r>
      <w:r>
        <w:rPr>
          <w:rStyle w:val="DecValTok"/>
        </w:rPr>
        <w:t xml:space="preserve">8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{{}, {"I1"}, {"I2"}, {"I3"}, {"I1", "I2"}, {"I1",</w:t>
      </w:r>
      <w:r>
        <w:br/>
      </w:r>
      <w:r>
        <w:rPr>
          <w:rStyle w:val="CommentTok"/>
        </w:rPr>
        <w:t xml:space="preserve">#&gt;  "I3"}, {"I2", "I3"}, {"I2", "I5"}, {"I3", "I6"},</w:t>
      </w:r>
      <w:r>
        <w:br/>
      </w:r>
      <w:r>
        <w:rPr>
          <w:rStyle w:val="CommentTok"/>
        </w:rPr>
        <w:t xml:space="preserve">#&gt;  {"I1", "I2", "I3"}, {"I1", "I2", "I5"}, {"I1", "I3",</w:t>
      </w:r>
      <w:r>
        <w:br/>
      </w:r>
      <w:r>
        <w:rPr>
          <w:rStyle w:val="CommentTok"/>
        </w:rPr>
        <w:t xml:space="preserve">#&gt;  "I6"}, {"I2", "I3", "I5"}, {"I2", "I3", "I6"},</w:t>
      </w:r>
      <w:r>
        <w:br/>
      </w:r>
      <w:r>
        <w:rPr>
          <w:rStyle w:val="CommentTok"/>
        </w:rPr>
        <w:t xml:space="preserve">#&gt;  {"I1", "I2", "I3", "I4"}, {"I1", "I2", "I3", "I5"},</w:t>
      </w:r>
      <w:r>
        <w:br/>
      </w:r>
      <w:r>
        <w:rPr>
          <w:rStyle w:val="CommentTok"/>
        </w:rPr>
        <w:t xml:space="preserve">#&gt;  {"I1", "I2", "I3", "I6"}, {"I2", "I3", "I5", "I6"},</w:t>
      </w:r>
      <w:r>
        <w:br/>
      </w:r>
      <w:r>
        <w:rPr>
          <w:rStyle w:val="CommentTok"/>
        </w:rPr>
        <w:t xml:space="preserve">#&gt;  {"I1", "I2", "I3", "I4", "I5"}, {"I1", "I2", "I3",</w:t>
      </w:r>
      <w:r>
        <w:br/>
      </w:r>
      <w:r>
        <w:rPr>
          <w:rStyle w:val="CommentTok"/>
        </w:rPr>
        <w:t xml:space="preserve">#&gt;  "I4", "I6"}, {"I1", "I2", "I3", "I5", "I6"}, {"I1",</w:t>
      </w:r>
      <w:r>
        <w:br/>
      </w:r>
      <w:r>
        <w:rPr>
          <w:rStyle w:val="CommentTok"/>
        </w:rPr>
        <w:t xml:space="preserve">#&gt;  "I2", "I3", "I4", "I5", "I6"}, {"I1", "I2", "I3",</w:t>
      </w:r>
      <w:r>
        <w:br/>
      </w:r>
      <w:r>
        <w:rPr>
          <w:rStyle w:val="CommentTok"/>
        </w:rPr>
        <w:t xml:space="preserve">#&gt;  "I4", "I5", "I6", "I7"}}</w:t>
      </w:r>
      <w:r>
        <w:br/>
      </w:r>
      <w:r>
        <w:rPr>
          <w:rStyle w:val="FunctionTok"/>
        </w:rPr>
        <w:t xml:space="preserve">kbase</w:t>
      </w:r>
      <w:r>
        <w:rPr>
          <w:rStyle w:val="NormalTok"/>
        </w:rPr>
        <w:t xml:space="preserve">(ks)</w:t>
      </w:r>
      <w:r>
        <w:br/>
      </w:r>
      <w:r>
        <w:rPr>
          <w:rStyle w:val="CommentTok"/>
        </w:rPr>
        <w:t xml:space="preserve">#&gt; {{"I1"}, {"I2"}, {"I3"}, {"I2", "I5"}, {"I3", "I6"},</w:t>
      </w:r>
      <w:r>
        <w:br/>
      </w:r>
      <w:r>
        <w:rPr>
          <w:rStyle w:val="CommentTok"/>
        </w:rPr>
        <w:t xml:space="preserve">#&gt;  {"I1", "I2", "I3", "I4"}, &lt;&lt;set(7)&gt;&gt;}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lpath()</w:t>
      </w:r>
      <w:r>
        <w:t xml:space="preserve"> </w:t>
      </w:r>
      <w:r>
        <w:t xml:space="preserve">function determines all learning paths from the empty set to the full item set as a list of the individual</w:t>
      </w:r>
      <w:r>
        <w:t xml:space="preserve"> </w:t>
      </w:r>
      <w:r>
        <w:t xml:space="preserve">paths. The list is rather long, therefore only the first element is printed.</w:t>
      </w:r>
    </w:p>
    <w:p>
      <w:pPr>
        <w:pStyle w:val="SourceCode"/>
      </w:pPr>
      <w:r>
        <w:rPr>
          <w:rStyle w:val="NormalTok"/>
        </w:rPr>
        <w:t xml:space="preserve">lp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lpath</w:t>
      </w:r>
      <w:r>
        <w:rPr>
          <w:rStyle w:val="NormalTok"/>
        </w:rPr>
        <w:t xml:space="preserve">(ks)</w:t>
      </w:r>
      <w:r>
        <w:br/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(lp)</w:t>
      </w:r>
      <w:r>
        <w:br/>
      </w:r>
      <w:r>
        <w:rPr>
          <w:rStyle w:val="CommentTok"/>
        </w:rPr>
        <w:t xml:space="preserve">#&gt; [1] 66</w:t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(lp[[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]], </w:t>
      </w:r>
      <w:r>
        <w:rPr>
          <w:rStyle w:val="AttributeTok"/>
        </w:rPr>
        <w:t xml:space="preserve">limit=</w:t>
      </w:r>
      <w:r>
        <w:rPr>
          <w:rStyle w:val="DecValTok"/>
        </w:rPr>
        <w:t xml:space="preserve">8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{{}, {"I1"}, {"I1", "I2"}, {"I1", "I2", "I3"}, {"I1",</w:t>
      </w:r>
      <w:r>
        <w:br/>
      </w:r>
      <w:r>
        <w:rPr>
          <w:rStyle w:val="CommentTok"/>
        </w:rPr>
        <w:t xml:space="preserve">#&gt;  "I2", "I3", "I4"}, {"I1", "I2", "I3", "I4", "I5"},</w:t>
      </w:r>
      <w:r>
        <w:br/>
      </w:r>
      <w:r>
        <w:rPr>
          <w:rStyle w:val="CommentTok"/>
        </w:rPr>
        <w:t xml:space="preserve">#&gt;  {"I1", "I2", "I3", "I4", "I5", "I6"}, {"I1", "I2",</w:t>
      </w:r>
      <w:r>
        <w:br/>
      </w:r>
      <w:r>
        <w:rPr>
          <w:rStyle w:val="CommentTok"/>
        </w:rPr>
        <w:t xml:space="preserve">#&gt;  "I3", "I4", "I5", "I6", "I7"}}</w:t>
      </w:r>
    </w:p>
    <w:p>
      <w:pPr>
        <w:pStyle w:val="FirstParagraph"/>
      </w:pPr>
      <w:r>
        <w:rPr>
          <w:rStyle w:val="VerbatimChar"/>
        </w:rPr>
        <w:t xml:space="preserve">kst</w:t>
      </w:r>
      <w:r>
        <w:t xml:space="preserve"> </w:t>
      </w:r>
      <w:r>
        <w:t xml:space="preserve">offers several further functions including the computation of neighborhoods and fringes and a</w:t>
      </w:r>
      <w:r>
        <w:t xml:space="preserve"> </w:t>
      </w:r>
      <w:r>
        <w:t xml:space="preserve">deterministic knowledge assessment.</w:t>
      </w:r>
    </w:p>
    <w:bookmarkEnd w:id="30"/>
    <w:bookmarkStart w:id="58" w:name="kstmatrixpkg"/>
    <w:p>
      <w:pPr>
        <w:pStyle w:val="Heading2"/>
      </w:pPr>
      <w:r>
        <w:rPr>
          <w:rStyle w:val="SectionNumber"/>
        </w:rPr>
        <w:t xml:space="preserve">3.2</w:t>
      </w:r>
      <w:r>
        <w:tab/>
      </w:r>
      <w:r>
        <w:rPr>
          <w:rStyle w:val="VerbatimChar"/>
        </w:rPr>
        <w:t xml:space="preserve">kstMatrix</w:t>
      </w:r>
    </w:p>
    <w:p>
      <w:pPr>
        <w:pStyle w:val="FirstParagraph"/>
      </w:pPr>
      <w:r>
        <w:t xml:space="preserve">Work on the</w:t>
      </w:r>
      <w:r>
        <w:t xml:space="preserve"> </w:t>
      </w:r>
      <w:r>
        <w:rPr>
          <w:rStyle w:val="VerbatimChar"/>
        </w:rPr>
        <w:t xml:space="preserve">kstMatrix</w:t>
      </w:r>
      <w:r>
        <w:t xml:space="preserve"> </w:t>
      </w:r>
      <w:r>
        <w:t xml:space="preserve">package</w:t>
      </w:r>
      <w:r>
        <w:t xml:space="preserve"> </w:t>
      </w:r>
      <w:r>
        <w:t xml:space="preserve">(</w:t>
      </w:r>
      <w:hyperlink w:anchor="ref-hockemeyer:kstmatrix">
        <w:r>
          <w:rPr>
            <w:rStyle w:val="Hyperlink"/>
          </w:rPr>
          <w:t xml:space="preserve">Hockemeyer et al. 2026</w:t>
        </w:r>
      </w:hyperlink>
      <w:r>
        <w:t xml:space="preserve">;</w:t>
      </w:r>
      <w:r>
        <w:t xml:space="preserve"> </w:t>
      </w:r>
      <w:hyperlink w:anchor="ref-steiner:wilson">
        <w:r>
          <w:rPr>
            <w:rStyle w:val="Hyperlink"/>
          </w:rPr>
          <w:t xml:space="preserve">Steiner et al. in press</w:t>
        </w:r>
      </w:hyperlink>
      <w:r>
        <w:t xml:space="preserve">)</w:t>
      </w:r>
      <w:r>
        <w:t xml:space="preserve"> </w:t>
      </w:r>
      <w:r>
        <w:t xml:space="preserve">started originally having a</w:t>
      </w:r>
      <w:r>
        <w:t xml:space="preserve"> </w:t>
      </w:r>
      <w:r>
        <w:t xml:space="preserve">re-implementation of the</w:t>
      </w:r>
      <w:r>
        <w:t xml:space="preserve"> </w:t>
      </w:r>
      <w:r>
        <w:rPr>
          <w:rStyle w:val="VerbatimChar"/>
        </w:rPr>
        <w:t xml:space="preserve">kst</w:t>
      </w:r>
      <w:r>
        <w:t xml:space="preserve"> </w:t>
      </w:r>
      <w:r>
        <w:t xml:space="preserve">package in mind. The underlying idea was that applying a matrix representation</w:t>
      </w:r>
      <w:r>
        <w:t xml:space="preserve"> </w:t>
      </w:r>
      <w:r>
        <w:t xml:space="preserve">should be faster than the set representation because the former is more native to R. Meanwhile, the package has</w:t>
      </w:r>
      <w:r>
        <w:t xml:space="preserve"> </w:t>
      </w:r>
      <w:r>
        <w:t xml:space="preserve">grown considerably beyond that original purpose into a larger set of functions.</w:t>
      </w:r>
    </w:p>
    <w:p>
      <w:pPr>
        <w:pStyle w:val="BodyText"/>
      </w:pPr>
      <w:r>
        <w:t xml:space="preserve">Like in</w:t>
      </w:r>
      <w:r>
        <w:t xml:space="preserve"> </w:t>
      </w:r>
      <w:r>
        <w:rPr>
          <w:rStyle w:val="VerbatimChar"/>
        </w:rPr>
        <w:t xml:space="preserve">kst</w:t>
      </w:r>
      <w:r>
        <w:t xml:space="preserve">, object classes are used intensively as shown in Figure 4.</w:t>
      </w:r>
    </w:p>
    <w:p>
      <w:pPr>
        <w:pStyle w:val="CaptionedFigure"/>
      </w:pPr>
      <w:r>
        <w:drawing>
          <wp:inline>
            <wp:extent cx="5334000" cy="1518549"/>
            <wp:effectExtent b="0" l="0" r="0" t="0"/>
            <wp:docPr descr="Object classes in the kstMatrix package" title="" id="32" name="Picture"/>
            <a:graphic>
              <a:graphicData uri="http://schemas.openxmlformats.org/drawingml/2006/picture">
                <pic:pic>
                  <pic:nvPicPr>
                    <pic:cNvPr descr="Hockemeyer_KST-R_files/figures/kstMatrixClasses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185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Object classes in the</w:t>
      </w:r>
      <w:r>
        <w:t xml:space="preserve"> </w:t>
      </w:r>
      <w:r>
        <w:rPr>
          <w:rStyle w:val="VerbatimChar"/>
        </w:rPr>
        <w:t xml:space="preserve">kstMatrix</w:t>
      </w:r>
      <w:r>
        <w:t xml:space="preserve"> </w:t>
      </w:r>
      <w:r>
        <w:t xml:space="preserve">package</w:t>
      </w:r>
    </w:p>
    <w:p>
      <w:pPr>
        <w:pStyle w:val="BodyText"/>
      </w:pPr>
      <w:r>
        <w:t xml:space="preserve">Most classes are derived from the</w:t>
      </w:r>
      <w:r>
        <w:t xml:space="preserve"> </w:t>
      </w:r>
      <w:r>
        <w:rPr>
          <w:rStyle w:val="VerbatimChar"/>
        </w:rPr>
        <w:t xml:space="preserve">matrix</w:t>
      </w:r>
      <w:r>
        <w:t xml:space="preserve"> </w:t>
      </w:r>
      <w:r>
        <w:t xml:space="preserve">class. Our list starts with those classes that are similar to the ones from the</w:t>
      </w:r>
      <w:r>
        <w:t xml:space="preserve"> </w:t>
      </w:r>
      <w:hyperlink w:anchor="kstpkg">
        <w:r>
          <w:rPr>
            <w:rStyle w:val="VerbatimChar"/>
          </w:rPr>
          <w:t xml:space="preserve">kst</w:t>
        </w:r>
      </w:hyperlink>
      <w:r>
        <w:t xml:space="preserve"> </w:t>
      </w:r>
      <w:r>
        <w:t xml:space="preserve">package.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kmfamset</w:t>
      </w:r>
      <w:r>
        <w:t xml:space="preserve">: Family of sets, subclass of</w:t>
      </w:r>
      <w:r>
        <w:t xml:space="preserve"> </w:t>
      </w:r>
      <w:r>
        <w:rPr>
          <w:rStyle w:val="VerbatimChar"/>
        </w:rPr>
        <w:t xml:space="preserve">matrix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kmbasis</w:t>
      </w:r>
      <w:r>
        <w:t xml:space="preserve">: Basis of a knowledge space, subclass of</w:t>
      </w:r>
      <w:r>
        <w:t xml:space="preserve"> </w:t>
      </w:r>
      <w:r>
        <w:rPr>
          <w:rStyle w:val="VerbatimChar"/>
        </w:rPr>
        <w:t xml:space="preserve">kmfamset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kmstructure</w:t>
      </w:r>
      <w:r>
        <w:t xml:space="preserve">: Knowledge structure, subclass of</w:t>
      </w:r>
      <w:r>
        <w:t xml:space="preserve"> </w:t>
      </w:r>
      <w:r>
        <w:rPr>
          <w:rStyle w:val="VerbatimChar"/>
        </w:rPr>
        <w:t xml:space="preserve">kmfamset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kmspace</w:t>
      </w:r>
      <w:r>
        <w:t xml:space="preserve">: Knowledge space, subclass of</w:t>
      </w:r>
      <w:r>
        <w:t xml:space="preserve"> </w:t>
      </w:r>
      <w:r>
        <w:rPr>
          <w:rStyle w:val="VerbatimChar"/>
        </w:rPr>
        <w:t xml:space="preserve">kmstructure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kmqspace</w:t>
      </w:r>
      <w:r>
        <w:t xml:space="preserve">: Quasi-ordinal knowledge space, subclass of</w:t>
      </w:r>
      <w:r>
        <w:t xml:space="preserve"> </w:t>
      </w:r>
      <w:r>
        <w:rPr>
          <w:rStyle w:val="VerbatimChar"/>
        </w:rPr>
        <w:t xml:space="preserve">kmspace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kmneighbourhood</w:t>
      </w:r>
      <w:r>
        <w:t xml:space="preserve">: Neighborhood of a state in a knowledge structure, subclass of</w:t>
      </w:r>
      <w:r>
        <w:t xml:space="preserve"> </w:t>
      </w:r>
      <w:r>
        <w:rPr>
          <w:rStyle w:val="VerbatimChar"/>
        </w:rPr>
        <w:t xml:space="preserve">kmfamset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kmdata</w:t>
      </w:r>
      <w:r>
        <w:t xml:space="preserve">: Data set, subclass of</w:t>
      </w:r>
      <w:r>
        <w:t xml:space="preserve"> </w:t>
      </w:r>
      <w:r>
        <w:rPr>
          <w:rStyle w:val="VerbatimChar"/>
        </w:rPr>
        <w:t xml:space="preserve">matrix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kmattributionrelation</w:t>
      </w:r>
      <w:r>
        <w:t xml:space="preserve">: Attribution relation, subclass of</w:t>
      </w:r>
      <w:r>
        <w:t xml:space="preserve"> </w:t>
      </w:r>
      <w:r>
        <w:rPr>
          <w:rStyle w:val="VerbatimChar"/>
        </w:rPr>
        <w:t xml:space="preserve">matrix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kmsurmiserelation</w:t>
      </w:r>
      <w:r>
        <w:t xml:space="preserve">: Surmise relation, subclass of</w:t>
      </w:r>
      <w:r>
        <w:t xml:space="preserve"> </w:t>
      </w:r>
      <w:r>
        <w:rPr>
          <w:rStyle w:val="VerbatimChar"/>
        </w:rPr>
        <w:t xml:space="preserve">kmattributionrelation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kmlearningmathmatrix</w:t>
      </w:r>
      <w:r>
        <w:t xml:space="preserve">: Learning path as matrix, subclass of</w:t>
      </w:r>
      <w:r>
        <w:t xml:space="preserve"> </w:t>
      </w:r>
      <w:r>
        <w:rPr>
          <w:rStyle w:val="VerbatimChar"/>
        </w:rPr>
        <w:t xml:space="preserve">kmfamset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kmlearningpathmatrices</w:t>
      </w:r>
      <w:r>
        <w:t xml:space="preserve">: List of learning paths in matrix form, subclass of</w:t>
      </w:r>
      <w:r>
        <w:t xml:space="preserve"> </w:t>
      </w:r>
      <w:r>
        <w:rPr>
          <w:rStyle w:val="VerbatimChar"/>
        </w:rPr>
        <w:t xml:space="preserve">list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kmlearningpath</w:t>
      </w:r>
      <w:r>
        <w:t xml:space="preserve">: Learning path as list of character strings, subclass of</w:t>
      </w:r>
      <w:r>
        <w:t xml:space="preserve"> </w:t>
      </w:r>
      <w:r>
        <w:rPr>
          <w:rStyle w:val="VerbatimChar"/>
        </w:rPr>
        <w:t xml:space="preserve">list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kmlearningpaths</w:t>
      </w:r>
      <w:r>
        <w:t xml:space="preserve">: List of learning paths, subclass of</w:t>
      </w:r>
      <w:r>
        <w:t xml:space="preserve"> </w:t>
      </w:r>
      <w:r>
        <w:rPr>
          <w:rStyle w:val="VerbatimChar"/>
        </w:rPr>
        <w:t xml:space="preserve">list</w:t>
      </w:r>
    </w:p>
    <w:bookmarkStart w:id="37" w:name="kmbasic"/>
    <w:p>
      <w:pPr>
        <w:pStyle w:val="Heading3"/>
      </w:pPr>
      <w:r>
        <w:rPr>
          <w:rStyle w:val="SectionNumber"/>
        </w:rPr>
        <w:t xml:space="preserve">3.2.1</w:t>
      </w:r>
      <w:r>
        <w:tab/>
      </w:r>
      <w:r>
        <w:t xml:space="preserve">Basic functions</w:t>
      </w:r>
    </w:p>
    <w:p>
      <w:pPr>
        <w:pStyle w:val="FirstParagraph"/>
      </w:pPr>
      <w:r>
        <w:t xml:space="preserve">We start similar as in the description of the</w:t>
      </w:r>
      <w:r>
        <w:t xml:space="preserve"> </w:t>
      </w:r>
      <w:hyperlink w:anchor="kstpkg">
        <w:r>
          <w:rPr>
            <w:rStyle w:val="VerbatimChar"/>
          </w:rPr>
          <w:t xml:space="preserve">kst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package above</w:t>
        </w:r>
      </w:hyperlink>
      <w:r>
        <w:t xml:space="preserve">.</w:t>
      </w:r>
    </w:p>
    <w:p>
      <w:pPr>
        <w:pStyle w:val="SourceCode"/>
      </w:pPr>
      <w:r>
        <w:rPr>
          <w:rStyle w:val="NormalTok"/>
        </w:rPr>
        <w:t xml:space="preserve">phsg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basis</w:t>
      </w:r>
      <w:r>
        <w:br/>
      </w:r>
      <w:r>
        <w:rPr>
          <w:rStyle w:val="CommentTok"/>
        </w:rPr>
        <w:t xml:space="preserve">#&gt;      I1 I2 I3 I4 I5 I6 I7</w:t>
      </w:r>
      <w:r>
        <w:br/>
      </w:r>
      <w:r>
        <w:rPr>
          <w:rStyle w:val="CommentTok"/>
        </w:rPr>
        <w:t xml:space="preserve">#&gt; [1,]  1  0  0  0  0  0  0</w:t>
      </w:r>
      <w:r>
        <w:br/>
      </w:r>
      <w:r>
        <w:rPr>
          <w:rStyle w:val="CommentTok"/>
        </w:rPr>
        <w:t xml:space="preserve">#&gt; [2,]  0  1  0  0  0  0  0</w:t>
      </w:r>
      <w:r>
        <w:br/>
      </w:r>
      <w:r>
        <w:rPr>
          <w:rStyle w:val="CommentTok"/>
        </w:rPr>
        <w:t xml:space="preserve">#&gt; [3,]  0  0  1  0  0  0  0</w:t>
      </w:r>
      <w:r>
        <w:br/>
      </w:r>
      <w:r>
        <w:rPr>
          <w:rStyle w:val="CommentTok"/>
        </w:rPr>
        <w:t xml:space="preserve">#&gt; [4,]  1  1  1  1  0  0  0</w:t>
      </w:r>
      <w:r>
        <w:br/>
      </w:r>
      <w:r>
        <w:rPr>
          <w:rStyle w:val="CommentTok"/>
        </w:rPr>
        <w:t xml:space="preserve">#&gt; [5,]  0  1  0  0  1  0  0</w:t>
      </w:r>
      <w:r>
        <w:br/>
      </w:r>
      <w:r>
        <w:rPr>
          <w:rStyle w:val="CommentTok"/>
        </w:rPr>
        <w:t xml:space="preserve">#&gt; [6,]  0  0  1  0  0  1  0</w:t>
      </w:r>
      <w:r>
        <w:br/>
      </w:r>
      <w:r>
        <w:rPr>
          <w:rStyle w:val="CommentTok"/>
        </w:rPr>
        <w:t xml:space="preserve">#&gt; [7,]  1  1  1  1  1  1  1</w:t>
      </w:r>
      <w:r>
        <w:br/>
      </w:r>
      <w:r>
        <w:rPr>
          <w:rStyle w:val="CommentTok"/>
        </w:rPr>
        <w:t xml:space="preserve">#&gt; attr(,"class")</w:t>
      </w:r>
      <w:r>
        <w:br/>
      </w:r>
      <w:r>
        <w:rPr>
          <w:rStyle w:val="CommentTok"/>
        </w:rPr>
        <w:t xml:space="preserve">#&gt; [1] "kmbasis"  "kmfamset" "matrix"   "array"</w:t>
      </w:r>
      <w:r>
        <w:br/>
      </w:r>
      <w:r>
        <w:rPr>
          <w:rStyle w:val="FunctionTok"/>
        </w:rPr>
        <w:t xml:space="preserve">kmprettyprint</w:t>
      </w:r>
      <w:r>
        <w:rPr>
          <w:rStyle w:val="NormalTok"/>
        </w:rPr>
        <w:t xml:space="preserve">(phsg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basis)</w:t>
      </w:r>
      <w:r>
        <w:br/>
      </w:r>
      <w:r>
        <w:rPr>
          <w:rStyle w:val="CommentTok"/>
        </w:rPr>
        <w:t xml:space="preserve">#&gt; [1] "{{I1}, {I2}, {I3}, {I2, I5}, {I3, I6}, {I1, I2, I3, I4}, {I1, I2, I3, I4, I5, I6, I7}}"</w:t>
      </w:r>
    </w:p>
    <w:p>
      <w:pPr>
        <w:pStyle w:val="FirstParagraph"/>
      </w:pPr>
      <w:r>
        <w:t xml:space="preserve">Prettyprinting can also be done in a</w:t>
      </w:r>
      <w:r>
        <w:t xml:space="preserve"> </w:t>
      </w:r>
      <w:r>
        <w:rPr>
          <w:i/>
          <w:iCs/>
        </w:rPr>
        <w:t xml:space="preserve">simplified</w:t>
      </w:r>
      <w:r>
        <w:t xml:space="preserve"> </w:t>
      </w:r>
      <w:r>
        <w:t xml:space="preserve">way, i.e. omitting braces etc. However, this is recommended only for</w:t>
      </w:r>
      <w:r>
        <w:t xml:space="preserve"> </w:t>
      </w:r>
      <w:r>
        <w:t xml:space="preserve">single character item names.</w:t>
      </w:r>
    </w:p>
    <w:p>
      <w:pPr>
        <w:pStyle w:val="SourceCode"/>
      </w:pPr>
      <w:r>
        <w:rPr>
          <w:rStyle w:val="FunctionTok"/>
        </w:rPr>
        <w:t xml:space="preserve">kmprettyprint</w:t>
      </w:r>
      <w:r>
        <w:rPr>
          <w:rStyle w:val="NormalTok"/>
        </w:rPr>
        <w:t xml:space="preserve">(xpl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basis)</w:t>
      </w:r>
      <w:r>
        <w:br/>
      </w:r>
      <w:r>
        <w:rPr>
          <w:rStyle w:val="CommentTok"/>
        </w:rPr>
        <w:t xml:space="preserve">#&gt; [1] "{{a}, {b}, {a, c}, {b, c}, {a, b, d}}"</w:t>
      </w:r>
      <w:r>
        <w:br/>
      </w:r>
      <w:r>
        <w:rPr>
          <w:rStyle w:val="FunctionTok"/>
        </w:rPr>
        <w:t xml:space="preserve">kmprettyprint</w:t>
      </w:r>
      <w:r>
        <w:rPr>
          <w:rStyle w:val="NormalTok"/>
        </w:rPr>
        <w:t xml:space="preserve">(xpl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basis, </w:t>
      </w:r>
      <w:r>
        <w:rPr>
          <w:rStyle w:val="AttributeTok"/>
        </w:rPr>
        <w:t xml:space="preserve">simplified=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[1] "{a, b, ac, bc, abd}"</w:t>
      </w:r>
    </w:p>
    <w:p>
      <w:pPr>
        <w:pStyle w:val="FirstParagraph"/>
      </w:pPr>
      <w:r>
        <w:t xml:space="preserve">Plots with</w:t>
      </w:r>
      <w:r>
        <w:t xml:space="preserve"> </w:t>
      </w:r>
      <w:r>
        <w:rPr>
          <w:rStyle w:val="VerbatimChar"/>
        </w:rPr>
        <w:t xml:space="preserve">kstMatrix</w:t>
      </w:r>
      <w:r>
        <w:t xml:space="preserve"> </w:t>
      </w:r>
      <w:r>
        <w:t xml:space="preserve">look by default different depending on the class of the plotted object. Various parameters of</w:t>
      </w:r>
      <w:r>
        <w:t xml:space="preserve"> </w:t>
      </w:r>
      <w:r>
        <w:t xml:space="preserve">vertices and edges can be specified in the function call.</w:t>
      </w:r>
    </w:p>
    <w:p>
      <w:pPr>
        <w:pStyle w:val="SourceCode"/>
      </w:pPr>
      <w:r>
        <w:rPr>
          <w:rStyle w:val="FunctionTok"/>
        </w:rPr>
        <w:t xml:space="preserve">plot</w:t>
      </w:r>
      <w:r>
        <w:rPr>
          <w:rStyle w:val="NormalTok"/>
        </w:rPr>
        <w:t xml:space="preserve">(phsg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basis)</w:t>
      </w:r>
    </w:p>
    <w:p>
      <w:pPr>
        <w:pStyle w:val="CaptionedFigure"/>
      </w:pPr>
      <w:r>
        <w:drawing>
          <wp:inline>
            <wp:extent cx="1600200" cy="1235842"/>
            <wp:effectExtent b="0" l="0" r="0" t="0"/>
            <wp:docPr descr="Plotting a basis with kstMatrix" title="" id="35" name="Picture"/>
            <a:graphic>
              <a:graphicData uri="http://schemas.openxmlformats.org/drawingml/2006/picture">
                <pic:pic>
                  <pic:nvPicPr>
                    <pic:cNvPr descr="Hockemeyer_KST-R_files/figures/basis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358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Plotting a basis with</w:t>
      </w:r>
      <w:r>
        <w:t xml:space="preserve"> </w:t>
      </w:r>
      <w:r>
        <w:rPr>
          <w:rStyle w:val="VerbatimChar"/>
        </w:rPr>
        <w:t xml:space="preserve">kstMatrix</w:t>
      </w:r>
    </w:p>
    <w:bookmarkEnd w:id="37"/>
    <w:bookmarkStart w:id="47" w:name="kmfringe"/>
    <w:p>
      <w:pPr>
        <w:pStyle w:val="Heading3"/>
      </w:pPr>
      <w:r>
        <w:rPr>
          <w:rStyle w:val="SectionNumber"/>
        </w:rPr>
        <w:t xml:space="preserve">3.2.2</w:t>
      </w:r>
      <w:r>
        <w:tab/>
      </w:r>
      <w:r>
        <w:t xml:space="preserve">Neighborhoods, fringes, and learning paths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/>
          <w:iCs/>
        </w:rPr>
        <w:t xml:space="preserve">n-neighborhood of a knowledge state</w:t>
      </w:r>
      <w:r>
        <w:t xml:space="preserve"> </w:t>
      </w:r>
      <w:r>
        <w:t xml:space="preserve">is defined as the family of those knowledge states which have a maximal symmetric</w:t>
      </w:r>
      <w:r>
        <w:t xml:space="preserve"> </w:t>
      </w:r>
      <w:r>
        <w:t xml:space="preserve">set difference. By default, the 1-neighborhood is regarded whcih is simply called neighborhood.</w:t>
      </w:r>
    </w:p>
    <w:p>
      <w:pPr>
        <w:pStyle w:val="SourceCode"/>
      </w:pPr>
      <w:r>
        <w:rPr>
          <w:rStyle w:val="NormalTok"/>
        </w:rPr>
        <w:t xml:space="preserve">ksp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kmspace</w:t>
      </w:r>
      <w:r>
        <w:rPr>
          <w:rStyle w:val="NormalTok"/>
        </w:rPr>
        <w:t xml:space="preserve">(phsg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basis)</w:t>
      </w:r>
      <w:r>
        <w:br/>
      </w:r>
      <w:r>
        <w:rPr>
          <w:rStyle w:val="NormalTok"/>
        </w:rPr>
        <w:t xml:space="preserve">state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kmneighbourhood</w:t>
      </w:r>
      <w:r>
        <w:rPr>
          <w:rStyle w:val="NormalTok"/>
        </w:rPr>
        <w:t xml:space="preserve">(state, ksp, </w:t>
      </w:r>
      <w:r>
        <w:rPr>
          <w:rStyle w:val="AttributeTok"/>
        </w:rPr>
        <w:t xml:space="preserve">include=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I1 I2 I3 I4 I5 I6 I7</w:t>
      </w:r>
      <w:r>
        <w:br/>
      </w:r>
      <w:r>
        <w:rPr>
          <w:rStyle w:val="CommentTok"/>
        </w:rPr>
        <w:t xml:space="preserve">#&gt; [1,]  1  1  1  0  0  0  0</w:t>
      </w:r>
      <w:r>
        <w:br/>
      </w:r>
      <w:r>
        <w:rPr>
          <w:rStyle w:val="CommentTok"/>
        </w:rPr>
        <w:t xml:space="preserve">#&gt; [2,]  1  1  1  1  1  0  0</w:t>
      </w:r>
      <w:r>
        <w:br/>
      </w:r>
      <w:r>
        <w:rPr>
          <w:rStyle w:val="CommentTok"/>
        </w:rPr>
        <w:t xml:space="preserve">#&gt; [3,]  1  1  1  1  0  1  0</w:t>
      </w:r>
      <w:r>
        <w:br/>
      </w:r>
      <w:r>
        <w:rPr>
          <w:rStyle w:val="CommentTok"/>
        </w:rPr>
        <w:t xml:space="preserve">#&gt; [4,]  1  1  1  1  0  0  0</w:t>
      </w:r>
      <w:r>
        <w:br/>
      </w:r>
      <w:r>
        <w:rPr>
          <w:rStyle w:val="CommentTok"/>
        </w:rPr>
        <w:t xml:space="preserve">#&gt; attr(,"class")</w:t>
      </w:r>
      <w:r>
        <w:br/>
      </w:r>
      <w:r>
        <w:rPr>
          <w:rStyle w:val="CommentTok"/>
        </w:rPr>
        <w:t xml:space="preserve">#&gt; [1] "kmneighbourhood" "kmfamset"        "matrix"         </w:t>
      </w:r>
      <w:r>
        <w:br/>
      </w:r>
      <w:r>
        <w:rPr>
          <w:rStyle w:val="CommentTok"/>
        </w:rPr>
        <w:t xml:space="preserve">#&gt; [4] "array"</w:t>
      </w:r>
      <w:r>
        <w:br/>
      </w:r>
      <w:r>
        <w:rPr>
          <w:rStyle w:val="FunctionTok"/>
        </w:rPr>
        <w:t xml:space="preserve">kmnneighbourhood</w:t>
      </w:r>
      <w:r>
        <w:rPr>
          <w:rStyle w:val="NormalTok"/>
        </w:rPr>
        <w:t xml:space="preserve">(state, ksp, </w:t>
      </w:r>
      <w:r>
        <w:rPr>
          <w:rStyle w:val="AttributeTok"/>
        </w:rPr>
        <w:t xml:space="preserve">distance=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I1 I2 I3 I4 I5 I6 I7</w:t>
      </w:r>
      <w:r>
        <w:br/>
      </w:r>
      <w:r>
        <w:rPr>
          <w:rStyle w:val="CommentTok"/>
        </w:rPr>
        <w:t xml:space="preserve">#&gt;  [1,]  1  1  0  0  0  0  0</w:t>
      </w:r>
      <w:r>
        <w:br/>
      </w:r>
      <w:r>
        <w:rPr>
          <w:rStyle w:val="CommentTok"/>
        </w:rPr>
        <w:t xml:space="preserve">#&gt;  [2,]  1  0  1  0  0  0  0</w:t>
      </w:r>
      <w:r>
        <w:br/>
      </w:r>
      <w:r>
        <w:rPr>
          <w:rStyle w:val="CommentTok"/>
        </w:rPr>
        <w:t xml:space="preserve">#&gt;  [3,]  0  1  1  0  0  0  0</w:t>
      </w:r>
      <w:r>
        <w:br/>
      </w:r>
      <w:r>
        <w:rPr>
          <w:rStyle w:val="CommentTok"/>
        </w:rPr>
        <w:t xml:space="preserve">#&gt;  [4,]  1  1  1  0  0  0  0</w:t>
      </w:r>
      <w:r>
        <w:br/>
      </w:r>
      <w:r>
        <w:rPr>
          <w:rStyle w:val="CommentTok"/>
        </w:rPr>
        <w:t xml:space="preserve">#&gt;  [5,]  1  1  1  0  1  0  0</w:t>
      </w:r>
      <w:r>
        <w:br/>
      </w:r>
      <w:r>
        <w:rPr>
          <w:rStyle w:val="CommentTok"/>
        </w:rPr>
        <w:t xml:space="preserve">#&gt;  [6,]  1  1  1  1  1  0  0</w:t>
      </w:r>
      <w:r>
        <w:br/>
      </w:r>
      <w:r>
        <w:rPr>
          <w:rStyle w:val="CommentTok"/>
        </w:rPr>
        <w:t xml:space="preserve">#&gt;  [7,]  1  1  1  0  0  1  0</w:t>
      </w:r>
      <w:r>
        <w:br/>
      </w:r>
      <w:r>
        <w:rPr>
          <w:rStyle w:val="CommentTok"/>
        </w:rPr>
        <w:t xml:space="preserve">#&gt;  [8,]  1  1  1  1  0  1  0</w:t>
      </w:r>
      <w:r>
        <w:br/>
      </w:r>
      <w:r>
        <w:rPr>
          <w:rStyle w:val="CommentTok"/>
        </w:rPr>
        <w:t xml:space="preserve">#&gt;  [9,]  1  1  1  1  1  1  0</w:t>
      </w:r>
      <w:r>
        <w:br/>
      </w:r>
      <w:r>
        <w:rPr>
          <w:rStyle w:val="CommentTok"/>
        </w:rPr>
        <w:t xml:space="preserve">#&gt; attr(,"class")</w:t>
      </w:r>
      <w:r>
        <w:br/>
      </w:r>
      <w:r>
        <w:rPr>
          <w:rStyle w:val="CommentTok"/>
        </w:rPr>
        <w:t xml:space="preserve">#&gt; [1] "kmneighbourhood" "kmfamset"        "matrix"         </w:t>
      </w:r>
      <w:r>
        <w:br/>
      </w:r>
      <w:r>
        <w:rPr>
          <w:rStyle w:val="CommentTok"/>
        </w:rPr>
        <w:t xml:space="preserve">#&gt; [4] "array"</w:t>
      </w:r>
    </w:p>
    <w:p>
      <w:pPr>
        <w:pStyle w:val="SourceCode"/>
      </w:pPr>
      <w:r>
        <w:rPr>
          <w:rStyle w:val="FunctionTok"/>
        </w:rPr>
        <w:t xml:space="preserve">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kmneighbourhood</w:t>
      </w:r>
      <w:r>
        <w:rPr>
          <w:rStyle w:val="NormalTok"/>
        </w:rPr>
        <w:t xml:space="preserve">(state, ksp, </w:t>
      </w:r>
      <w:r>
        <w:rPr>
          <w:rStyle w:val="AttributeTok"/>
        </w:rPr>
        <w:t xml:space="preserve">include=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state=</w:t>
      </w:r>
      <w:r>
        <w:rPr>
          <w:rStyle w:val="NormalTok"/>
        </w:rPr>
        <w:t xml:space="preserve">state)</w:t>
      </w:r>
    </w:p>
    <w:p>
      <w:pPr>
        <w:pStyle w:val="CaptionedFigure"/>
      </w:pPr>
      <w:r>
        <w:drawing>
          <wp:inline>
            <wp:extent cx="1600200" cy="1235842"/>
            <wp:effectExtent b="0" l="0" r="0" t="0"/>
            <wp:docPr descr="Plot of a neighborhood" title="" id="39" name="Picture"/>
            <a:graphic>
              <a:graphicData uri="http://schemas.openxmlformats.org/drawingml/2006/picture">
                <pic:pic>
                  <pic:nvPicPr>
                    <pic:cNvPr descr="Hockemeyer_KST-R_files/figures/freeneighbourhood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358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Plot of a neighborhood</w:t>
      </w:r>
    </w:p>
    <w:p>
      <w:pPr>
        <w:pStyle w:val="BodyText"/>
      </w:pPr>
      <w:r>
        <w:t xml:space="preserve">Alternatively, a neighborhood an also be marked within the plot of a knowledge structure.</w:t>
      </w:r>
    </w:p>
    <w:p>
      <w:pPr>
        <w:pStyle w:val="SourceCode"/>
      </w:pPr>
      <w:r>
        <w:rPr>
          <w:rStyle w:val="FunctionTok"/>
        </w:rPr>
        <w:t xml:space="preserve">plot</w:t>
      </w:r>
      <w:r>
        <w:rPr>
          <w:rStyle w:val="NormalTok"/>
        </w:rPr>
        <w:t xml:space="preserve">(ksp, </w:t>
      </w:r>
      <w:r>
        <w:rPr>
          <w:rStyle w:val="AttributeTok"/>
        </w:rPr>
        <w:t xml:space="preserve">state=</w:t>
      </w:r>
      <w:r>
        <w:rPr>
          <w:rStyle w:val="NormalTok"/>
        </w:rPr>
        <w:t xml:space="preserve">state)</w:t>
      </w:r>
    </w:p>
    <w:p>
      <w:pPr>
        <w:pStyle w:val="CaptionedFigure"/>
      </w:pPr>
      <w:r>
        <w:drawing>
          <wp:inline>
            <wp:extent cx="3200400" cy="2470122"/>
            <wp:effectExtent b="0" l="0" r="0" t="0"/>
            <wp:docPr descr="Neighborhood within a knowledge structure" title="" id="42" name="Picture"/>
            <a:graphic>
              <a:graphicData uri="http://schemas.openxmlformats.org/drawingml/2006/picture">
                <pic:pic>
                  <pic:nvPicPr>
                    <pic:cNvPr descr="Hockemeyer_KST-R_files/figures/neighbourhoodwithin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701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Neighborhood within a knowledge structure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i/>
          <w:iCs/>
        </w:rPr>
        <w:t xml:space="preserve">fringe</w:t>
      </w:r>
      <w:r>
        <w:t xml:space="preserve"> </w:t>
      </w:r>
      <w:r>
        <w:t xml:space="preserve">of a knowledge state is the set of items by which the state differs from its 1-neighbors. We distinguish between the</w:t>
      </w:r>
      <w:r>
        <w:t xml:space="preserve"> </w:t>
      </w:r>
      <w:r>
        <w:rPr>
          <w:i/>
          <w:iCs/>
        </w:rPr>
        <w:t xml:space="preserve">inner fringe</w:t>
      </w:r>
      <w:r>
        <w:t xml:space="preserve"> </w:t>
      </w:r>
      <w:r>
        <w:t xml:space="preserve">which is part of the state and the</w:t>
      </w:r>
      <w:r>
        <w:t xml:space="preserve"> </w:t>
      </w:r>
      <w:r>
        <w:rPr>
          <w:i/>
          <w:iCs/>
        </w:rPr>
        <w:t xml:space="preserve">outer fringe</w:t>
      </w:r>
      <w:r>
        <w:t xml:space="preserve"> </w:t>
      </w:r>
      <w:r>
        <w:t xml:space="preserve">containing the items by which the state can be expanded.</w:t>
      </w:r>
    </w:p>
    <w:p>
      <w:pPr>
        <w:pStyle w:val="SourceCode"/>
      </w:pPr>
      <w:r>
        <w:rPr>
          <w:rStyle w:val="FunctionTok"/>
        </w:rPr>
        <w:t xml:space="preserve">kmfringe</w:t>
      </w:r>
      <w:r>
        <w:rPr>
          <w:rStyle w:val="NormalTok"/>
        </w:rPr>
        <w:t xml:space="preserve">(state, ksp)</w:t>
      </w:r>
      <w:r>
        <w:br/>
      </w:r>
      <w:r>
        <w:rPr>
          <w:rStyle w:val="CommentTok"/>
        </w:rPr>
        <w:t xml:space="preserve">#&gt; I1 I2 I3 I4 I5 I6 I7 </w:t>
      </w:r>
      <w:r>
        <w:br/>
      </w:r>
      <w:r>
        <w:rPr>
          <w:rStyle w:val="CommentTok"/>
        </w:rPr>
        <w:t xml:space="preserve">#&gt;  0  0  0  1  1  1  0</w:t>
      </w:r>
      <w:r>
        <w:br/>
      </w:r>
      <w:r>
        <w:rPr>
          <w:rStyle w:val="FunctionTok"/>
        </w:rPr>
        <w:t xml:space="preserve">kminnerfringe</w:t>
      </w:r>
      <w:r>
        <w:rPr>
          <w:rStyle w:val="NormalTok"/>
        </w:rPr>
        <w:t xml:space="preserve">(state, ksp)</w:t>
      </w:r>
      <w:r>
        <w:br/>
      </w:r>
      <w:r>
        <w:rPr>
          <w:rStyle w:val="CommentTok"/>
        </w:rPr>
        <w:t xml:space="preserve">#&gt; [1] 0 0 0 1 0 0 0</w:t>
      </w:r>
    </w:p>
    <w:p>
      <w:pPr>
        <w:pStyle w:val="FirstParagraph"/>
      </w:pPr>
      <w:r>
        <w:t xml:space="preserve">Learning paths are ways to get from the empty set (of knowing nothing in the field) to the full item set (of knowing everything).</w:t>
      </w:r>
      <w:r>
        <w:t xml:space="preserve"> </w:t>
      </w:r>
      <w:r>
        <w:t xml:space="preserve">In our example space, we have 66 learning paths.</w:t>
      </w:r>
    </w:p>
    <w:p>
      <w:pPr>
        <w:pStyle w:val="SourceCode"/>
      </w:pPr>
      <w:r>
        <w:rPr>
          <w:rStyle w:val="FunctionTok"/>
        </w:rPr>
        <w:t xml:space="preserve">length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kmlearningpaths</w:t>
      </w:r>
      <w:r>
        <w:rPr>
          <w:rStyle w:val="NormalTok"/>
        </w:rPr>
        <w:t xml:space="preserve">(ksp))</w:t>
      </w:r>
      <w:r>
        <w:br/>
      </w:r>
      <w:r>
        <w:rPr>
          <w:rStyle w:val="CommentTok"/>
        </w:rPr>
        <w:t xml:space="preserve">#&gt; [1] 66</w:t>
      </w:r>
      <w:r>
        <w:br/>
      </w:r>
      <w:r>
        <w:rPr>
          <w:rStyle w:val="NormalTok"/>
        </w:rPr>
        <w:t xml:space="preserve">lpm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kmlearningpathmatrices</w:t>
      </w:r>
      <w:r>
        <w:rPr>
          <w:rStyle w:val="NormalTok"/>
        </w:rPr>
        <w:t xml:space="preserve">(ksp)[[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]]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str_wrap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kmprettyprint</w:t>
      </w:r>
      <w:r>
        <w:rPr>
          <w:rStyle w:val="NormalTok"/>
        </w:rPr>
        <w:t xml:space="preserve">(lpm), </w:t>
      </w:r>
      <w:r>
        <w:rPr>
          <w:rStyle w:val="AttributeTok"/>
        </w:rPr>
        <w:t xml:space="preserve">width=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{} →{I1} →{I1, I2} →{I1, I2, I3} →{I1, I2, I3, I4} →{I1, I2,</w:t>
      </w:r>
      <w:r>
        <w:br/>
      </w:r>
      <w:r>
        <w:rPr>
          <w:rStyle w:val="CommentTok"/>
        </w:rPr>
        <w:t xml:space="preserve">#&gt; I3, I4, I5} →{I1, I2, I3, I4, I5, I6} →{I1, I2, I3, I4, I5,</w:t>
      </w:r>
      <w:r>
        <w:br/>
      </w:r>
      <w:r>
        <w:rPr>
          <w:rStyle w:val="CommentTok"/>
        </w:rPr>
        <w:t xml:space="preserve">#&gt; I6, I7}</w:t>
      </w:r>
    </w:p>
    <w:p>
      <w:pPr>
        <w:pStyle w:val="SourceCode"/>
      </w:pPr>
      <w:r>
        <w:rPr>
          <w:rStyle w:val="FunctionTok"/>
        </w:rPr>
        <w:t xml:space="preserve">plot</w:t>
      </w:r>
      <w:r>
        <w:rPr>
          <w:rStyle w:val="NormalTok"/>
        </w:rPr>
        <w:t xml:space="preserve">(lpm, </w:t>
      </w:r>
      <w:r>
        <w:rPr>
          <w:rStyle w:val="AttributeTok"/>
        </w:rPr>
        <w:t xml:space="preserve">structure=</w:t>
      </w:r>
      <w:r>
        <w:rPr>
          <w:rStyle w:val="NormalTok"/>
        </w:rPr>
        <w:t xml:space="preserve">ksp)</w:t>
      </w:r>
    </w:p>
    <w:p>
      <w:pPr>
        <w:pStyle w:val="CaptionedFigure"/>
      </w:pPr>
      <w:r>
        <w:drawing>
          <wp:inline>
            <wp:extent cx="3200400" cy="2470122"/>
            <wp:effectExtent b="0" l="0" r="0" t="0"/>
            <wp:docPr descr="Learning path within a knowledge structure" title="" id="45" name="Picture"/>
            <a:graphic>
              <a:graphicData uri="http://schemas.openxmlformats.org/drawingml/2006/picture">
                <pic:pic>
                  <pic:nvPicPr>
                    <pic:cNvPr descr="Hockemeyer_KST-R_files/figures/lpath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701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Learning path within a knowledge structure</w:t>
      </w:r>
    </w:p>
    <w:bookmarkEnd w:id="47"/>
    <w:bookmarkStart w:id="48" w:name="kmderiving"/>
    <w:p>
      <w:pPr>
        <w:pStyle w:val="Heading3"/>
      </w:pPr>
      <w:r>
        <w:rPr>
          <w:rStyle w:val="SectionNumber"/>
        </w:rPr>
        <w:t xml:space="preserve">3.2.3</w:t>
      </w:r>
      <w:r>
        <w:tab/>
      </w:r>
      <w:r>
        <w:t xml:space="preserve">Deriving and combining knowledge structures</w:t>
      </w:r>
    </w:p>
    <w:p>
      <w:pPr>
        <w:pStyle w:val="FirstParagraph"/>
      </w:pPr>
      <w:r>
        <w:rPr>
          <w:rStyle w:val="VerbatimChar"/>
        </w:rPr>
        <w:t xml:space="preserve">kmunion()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kmintersection()</w:t>
      </w:r>
      <w:r>
        <w:t xml:space="preserve"> </w:t>
      </w:r>
      <w:r>
        <w:t xml:space="preserve">determine the union and</w:t>
      </w:r>
      <w:r>
        <w:t xml:space="preserve"> </w:t>
      </w:r>
      <w:r>
        <w:t xml:space="preserve">intersection, respectively, of knowledge structures. Please note that the</w:t>
      </w:r>
      <w:r>
        <w:t xml:space="preserve"> </w:t>
      </w:r>
      <w:r>
        <w:t xml:space="preserve">union of knowledge spaces corresponds to the intersection of the respective</w:t>
      </w:r>
      <w:r>
        <w:t xml:space="preserve"> </w:t>
      </w:r>
      <w:r>
        <w:t xml:space="preserve">surmise functions. `kmmesh() delivers the</w:t>
      </w:r>
      <w:r>
        <w:t xml:space="preserve"> </w:t>
      </w:r>
      <w:r>
        <w:rPr>
          <w:i/>
          <w:iCs/>
        </w:rPr>
        <w:t xml:space="preserve">mesh</w:t>
      </w:r>
      <w:r>
        <w:t xml:space="preserve"> </w:t>
      </w:r>
      <w:r>
        <w:t xml:space="preserve">of two knowledge</w:t>
      </w:r>
      <w:r>
        <w:t xml:space="preserve"> </w:t>
      </w:r>
      <w:r>
        <w:t xml:space="preserve">structures</w:t>
      </w:r>
      <w:r>
        <w:t xml:space="preserve"> </w:t>
      </w:r>
      <w:r>
        <w:t xml:space="preserve">(</w:t>
      </w:r>
      <w:hyperlink w:anchor="ref-falmagne:dowling">
        <w:r>
          <w:rPr>
            <w:rStyle w:val="Hyperlink"/>
          </w:rPr>
          <w:t xml:space="preserve">Falmagne and Doignon 1998</w:t>
        </w:r>
      </w:hyperlink>
      <w:r>
        <w:t xml:space="preserve">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kmnotions()</w:t>
      </w:r>
      <w:r>
        <w:t xml:space="preserve"> </w:t>
      </w:r>
      <w:r>
        <w:t xml:space="preserve">computes the</w:t>
      </w:r>
      <w:r>
        <w:t xml:space="preserve"> </w:t>
      </w:r>
      <w:r>
        <w:rPr>
          <w:i/>
          <w:iCs/>
        </w:rPr>
        <w:t xml:space="preserve">notions</w:t>
      </w:r>
      <w:r>
        <w:t xml:space="preserve"> </w:t>
      </w:r>
      <w:r>
        <w:t xml:space="preserve">for a knowledge structure, i.e.</w:t>
      </w:r>
      <w:r>
        <w:t xml:space="preserve"> </w:t>
      </w:r>
      <w:r>
        <w:t xml:space="preserve">the classes of equivalent items.</w:t>
      </w:r>
      <w:r>
        <w:t xml:space="preserve"> </w:t>
      </w:r>
      <w:r>
        <w:rPr>
          <w:rStyle w:val="VerbatimChar"/>
        </w:rPr>
        <w:t xml:space="preserve">kmeqreduction()</w:t>
      </w:r>
      <w:r>
        <w:t xml:space="preserve"> </w:t>
      </w:r>
      <w:r>
        <w:t xml:space="preserve">gives the</w:t>
      </w:r>
      <w:r>
        <w:t xml:space="preserve"> </w:t>
      </w:r>
      <w:r>
        <w:t xml:space="preserve">structure reduced to these notions. More general is</w:t>
      </w:r>
      <w:r>
        <w:t xml:space="preserve"> </w:t>
      </w:r>
      <w:r>
        <w:rPr>
          <w:rStyle w:val="VerbatimChar"/>
        </w:rPr>
        <w:t xml:space="preserve">kmsubstructure()</w:t>
      </w:r>
      <w:r>
        <w:t xml:space="preserve"> </w:t>
      </w:r>
      <w:r>
        <w:t xml:space="preserve">which gives the reduction of a knowledge structure to an arbitrary subset of</w:t>
      </w:r>
      <w:r>
        <w:t xml:space="preserve"> </w:t>
      </w:r>
      <w:r>
        <w:t xml:space="preserve">items.</w:t>
      </w:r>
      <w:r>
        <w:t xml:space="preserve"> </w:t>
      </w:r>
      <w:r>
        <w:rPr>
          <w:rStyle w:val="VerbatimChar"/>
        </w:rPr>
        <w:t xml:space="preserve">kmexpand()</w:t>
      </w:r>
      <w:r>
        <w:t xml:space="preserve"> </w:t>
      </w:r>
      <w:r>
        <w:t xml:space="preserve">is the counterpart to that as it expands a</w:t>
      </w:r>
      <w:r>
        <w:t xml:space="preserve"> </w:t>
      </w:r>
      <w:r>
        <w:t xml:space="preserve">knowledge structure to a larger items set.</w:t>
      </w:r>
    </w:p>
    <w:p>
      <w:pPr>
        <w:pStyle w:val="BodyText"/>
      </w:pPr>
      <w:r>
        <w:t xml:space="preserve">Finally, there are functions providing trivial knowledge spaces:</w:t>
      </w:r>
      <w:r>
        <w:t xml:space="preserve"> </w:t>
      </w:r>
      <w:r>
        <w:rPr>
          <w:rStyle w:val="VerbatimChar"/>
        </w:rPr>
        <w:t xml:space="preserve">kmminimalspace()</w:t>
      </w:r>
      <w:r>
        <w:t xml:space="preserve"> </w:t>
      </w:r>
      <w:r>
        <w:t xml:space="preserve">produces a knowledge space containing just the</w:t>
      </w:r>
      <w:r>
        <w:t xml:space="preserve"> </w:t>
      </w:r>
      <w:r>
        <w:t xml:space="preserve">empty set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and the full item set</w:t>
      </w:r>
      <w:r>
        <w:t xml:space="preserve"> </w:t>
      </w:r>
      <m:oMath>
        <m:r>
          <m:t>Q</m:t>
        </m:r>
      </m:oMath>
      <w:r>
        <w:t xml:space="preserve">.</w:t>
      </w:r>
      <w:r>
        <w:t xml:space="preserve"> </w:t>
      </w:r>
      <w:r>
        <w:rPr>
          <w:rStyle w:val="VerbatimChar"/>
        </w:rPr>
        <w:t xml:space="preserve">kmmaximalspace()</w:t>
      </w:r>
      <w:r>
        <w:t xml:space="preserve">,</w:t>
      </w:r>
      <w:r>
        <w:t xml:space="preserve"> </w:t>
      </w:r>
      <w:r>
        <w:t xml:space="preserve">on the other side, produces the power set</w:t>
      </w:r>
      <w:r>
        <w:t xml:space="preserve"> </w:t>
      </w:r>
      <m:oMath>
        <m:sSup>
          <m:e>
            <m:r>
              <m:t>2</m:t>
            </m:r>
          </m:e>
          <m:sup>
            <m:r>
              <m:t>Q</m:t>
            </m:r>
          </m:sup>
        </m:sSup>
      </m:oMath>
      <w:r>
        <w:t xml:space="preserve"> </w:t>
      </w:r>
      <w:r>
        <w:t xml:space="preserve">as knowledge space.</w:t>
      </w:r>
    </w:p>
    <w:bookmarkEnd w:id="48"/>
    <w:bookmarkStart w:id="49" w:name="kmdata"/>
    <w:p>
      <w:pPr>
        <w:pStyle w:val="Heading3"/>
      </w:pPr>
      <w:r>
        <w:rPr>
          <w:rStyle w:val="SectionNumber"/>
        </w:rPr>
        <w:t xml:space="preserve">3.2.4</w:t>
      </w:r>
      <w:r>
        <w:tab/>
      </w:r>
      <w:r>
        <w:t xml:space="preserve">Working with data</w:t>
      </w:r>
    </w:p>
    <w:p>
      <w:pPr>
        <w:pStyle w:val="FirstParagraph"/>
      </w:pPr>
      <w:r>
        <w:t xml:space="preserve">There exist several functions for working with data. They can be summarized</w:t>
      </w:r>
      <w:r>
        <w:t xml:space="preserve"> </w:t>
      </w:r>
      <w:r>
        <w:t xml:space="preserve">into three groups.</w:t>
      </w:r>
    </w:p>
    <w:p>
      <w:pPr>
        <w:numPr>
          <w:ilvl w:val="0"/>
          <w:numId w:val="1004"/>
        </w:numPr>
      </w:pPr>
      <w:r>
        <w:rPr>
          <w:b/>
          <w:bCs/>
        </w:rPr>
        <w:t xml:space="preserve">Generating structures from data:</w:t>
      </w:r>
      <w:r>
        <w:t xml:space="preserve"> </w:t>
      </w:r>
      <w:r>
        <w:t xml:space="preserve">The function</w:t>
      </w:r>
      <w:r>
        <w:t xml:space="preserve"> </w:t>
      </w:r>
      <w:r>
        <w:rPr>
          <w:rStyle w:val="VerbatimChar"/>
        </w:rPr>
        <w:t xml:space="preserve">kmgenerate()</w:t>
      </w:r>
      <w:r>
        <w:t xml:space="preserve"> </w:t>
      </w:r>
      <w:r>
        <w:t xml:space="preserve">provides a simplistic method to generate a knowledge structure from data</w:t>
      </w:r>
      <w:r>
        <w:t xml:space="preserve"> </w:t>
      </w:r>
      <w:r>
        <w:t xml:space="preserve">by taking all those response patterns as knowledge states which occur with</w:t>
      </w:r>
      <w:r>
        <w:t xml:space="preserve"> </w:t>
      </w:r>
      <w:r>
        <w:t xml:space="preserve">a frequency beyond a certain threshold. This method requires very high</w:t>
      </w:r>
      <w:r>
        <w:t xml:space="preserve"> </w:t>
      </w:r>
      <w:r>
        <w:t xml:space="preserve">numbers of response patterns.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simdata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kmsimulate</w:t>
      </w:r>
      <w:r>
        <w:rPr>
          <w:rStyle w:val="NormalTok"/>
        </w:rPr>
        <w:t xml:space="preserve">(ksp, </w:t>
      </w:r>
      <w:r>
        <w:rPr>
          <w:rStyle w:val="DecValTok"/>
        </w:rPr>
        <w:t xml:space="preserve">2000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beta=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eta=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kgs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kmgenerate</w:t>
      </w:r>
      <w:r>
        <w:rPr>
          <w:rStyle w:val="NormalTok"/>
        </w:rPr>
        <w:t xml:space="preserve">(simdata)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str_wrap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kmprettyprint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kmbasis</w:t>
      </w:r>
      <w:r>
        <w:rPr>
          <w:rStyle w:val="NormalTok"/>
        </w:rPr>
        <w:t xml:space="preserve">(kgs)), </w:t>
      </w:r>
      <w:r>
        <w:rPr>
          <w:rStyle w:val="AttributeTok"/>
        </w:rPr>
        <w:t xml:space="preserve">width=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{{I1}, {I2}, {I3}, {I2, I5}, {I1, I6}, {I2, I6}, {I3, I6},</w:t>
      </w:r>
      <w:r>
        <w:br/>
      </w:r>
      <w:r>
        <w:rPr>
          <w:rStyle w:val="CommentTok"/>
        </w:rPr>
        <w:t xml:space="preserve">#&gt; {I1, I3, I4}, {I3, I5, I6}, {I2, I3, I4, I6}, {I1, I2, I3,</w:t>
      </w:r>
      <w:r>
        <w:br/>
      </w:r>
      <w:r>
        <w:rPr>
          <w:rStyle w:val="CommentTok"/>
        </w:rPr>
        <w:t xml:space="preserve">#&gt; I4, I6, I7}}</w:t>
      </w:r>
    </w:p>
    <w:p>
      <w:pPr>
        <w:numPr>
          <w:ilvl w:val="0"/>
          <w:numId w:val="1000"/>
        </w:numPr>
      </w:pPr>
      <w:r>
        <w:t xml:space="preserve">A better approach is given by the</w:t>
      </w:r>
      <w:r>
        <w:t xml:space="preserve"> </w:t>
      </w:r>
      <w:r>
        <w:rPr>
          <w:rStyle w:val="VerbatimChar"/>
        </w:rPr>
        <w:t xml:space="preserve">DAKS</w:t>
      </w:r>
      <w:r>
        <w:t xml:space="preserve"> </w:t>
      </w:r>
      <w:r>
        <w:t xml:space="preserve">package described in</w:t>
      </w:r>
      <w:r>
        <w:t xml:space="preserve"> </w:t>
      </w:r>
      <w:r>
        <w:t xml:space="preserve">Section 5</w:t>
      </w:r>
      <w:r>
        <w:t xml:space="preserve"> </w:t>
      </w:r>
      <w:hyperlink w:anchor="daks">
        <w:r>
          <w:rPr>
            <w:rStyle w:val="Hyperlink"/>
          </w:rPr>
          <w:t xml:space="preserve">below</w:t>
        </w:r>
      </w:hyperlink>
      <w:r>
        <w:t xml:space="preserve">. The function</w:t>
      </w:r>
      <w:r>
        <w:t xml:space="preserve"> </w:t>
      </w:r>
      <w:r>
        <w:rPr>
          <w:rStyle w:val="VerbatimChar"/>
        </w:rPr>
        <w:t xml:space="preserve">kmiita2SR()</w:t>
      </w:r>
      <w:r>
        <w:t xml:space="preserve"> </w:t>
      </w:r>
      <w:r>
        <w:t xml:space="preserve">generates a surmise relation from an</w:t>
      </w:r>
      <w:r>
        <w:t xml:space="preserve"> </w:t>
      </w:r>
      <w:r>
        <w:rPr>
          <w:rStyle w:val="VerbatimChar"/>
        </w:rPr>
        <w:t xml:space="preserve">iita</w:t>
      </w:r>
      <w:r>
        <w:t xml:space="preserve"> </w:t>
      </w:r>
      <w:r>
        <w:t xml:space="preserve">object</w:t>
      </w:r>
      <w:r>
        <w:t xml:space="preserve"> </w:t>
      </w:r>
      <w:r>
        <w:t xml:space="preserve">obtained with</w:t>
      </w:r>
      <w:r>
        <w:t xml:space="preserve"> </w:t>
      </w:r>
      <w:r>
        <w:rPr>
          <w:rStyle w:val="VerbatimChar"/>
        </w:rPr>
        <w:t xml:space="preserve">DAKS</w:t>
      </w:r>
      <w:r>
        <w:t xml:space="preserve"> </w:t>
      </w:r>
      <w:r>
        <w:t xml:space="preserve">functions. Please note, howevr, that</w:t>
      </w:r>
      <w:r>
        <w:t xml:space="preserve"> </w:t>
      </w:r>
      <w:r>
        <w:rPr>
          <w:rStyle w:val="VerbatimChar"/>
        </w:rPr>
        <w:t xml:space="preserve">DAKS</w:t>
      </w:r>
      <w:r>
        <w:t xml:space="preserve"> </w:t>
      </w:r>
      <w:r>
        <w:t xml:space="preserve">produces a surmise relation and thus a (larger) quasi-ordinal</w:t>
      </w:r>
      <w:r>
        <w:t xml:space="preserve"> </w:t>
      </w:r>
      <w:r>
        <w:t xml:space="preserve">knowledge space.</w:t>
      </w:r>
    </w:p>
    <w:p>
      <w:pPr>
        <w:numPr>
          <w:ilvl w:val="0"/>
          <w:numId w:val="1004"/>
        </w:numPr>
      </w:pPr>
      <w:r>
        <w:rPr>
          <w:b/>
          <w:bCs/>
        </w:rPr>
        <w:t xml:space="preserve">Validating structures with data:</w:t>
      </w:r>
      <w:r>
        <w:t xml:space="preserve"> </w:t>
      </w:r>
      <w:r>
        <w:t xml:space="preserve">There are two functions implementing</w:t>
      </w:r>
      <w:r>
        <w:t xml:space="preserve"> </w:t>
      </w:r>
      <w:r>
        <w:t xml:space="preserve">different principles of validation:</w:t>
      </w:r>
      <w:r>
        <w:t xml:space="preserve"> </w:t>
      </w:r>
      <w:r>
        <w:rPr>
          <w:rStyle w:val="VerbatimChar"/>
        </w:rPr>
        <w:t xml:space="preserve">kmvalidate()</w:t>
      </w:r>
      <w:r>
        <w:t xml:space="preserve"> </w:t>
      </w:r>
      <w:r>
        <w:t xml:space="preserve">delivers</w:t>
      </w:r>
      <w:r>
        <w:t xml:space="preserve"> </w:t>
      </w:r>
      <w:r>
        <w:t xml:space="preserve">two distance measures based on the distribution of distances of the</w:t>
      </w:r>
      <w:r>
        <w:t xml:space="preserve"> </w:t>
      </w:r>
      <w:r>
        <w:t xml:space="preserve">response patterns from the structure.</w:t>
      </w:r>
      <w:r>
        <w:t xml:space="preserve"> </w:t>
      </w:r>
      <w:r>
        <w:rPr>
          <w:rStyle w:val="VerbatimChar"/>
        </w:rPr>
        <w:t xml:space="preserve">kmSRvalidate()</w:t>
      </w:r>
      <w:r>
        <w:t xml:space="preserve"> </w:t>
      </w:r>
      <w:r>
        <w:t xml:space="preserve">validates</w:t>
      </w:r>
      <w:r>
        <w:t xml:space="preserve"> </w:t>
      </w:r>
      <w:r>
        <w:t xml:space="preserve">data against a surmise relation delivering two measures based on how often</w:t>
      </w:r>
      <w:r>
        <w:t xml:space="preserve"> </w:t>
      </w:r>
      <w:r>
        <w:t xml:space="preserve">pairs in the relation are violated by the data.</w:t>
      </w:r>
    </w:p>
    <w:p>
      <w:pPr>
        <w:numPr>
          <w:ilvl w:val="0"/>
          <w:numId w:val="1004"/>
        </w:numPr>
      </w:pPr>
      <w:r>
        <w:rPr>
          <w:b/>
          <w:bCs/>
        </w:rPr>
        <w:t xml:space="preserve">Generating data through simulation:</w:t>
      </w:r>
      <w:r>
        <w:t xml:space="preserve"> </w:t>
      </w:r>
      <w:r>
        <w:rPr>
          <w:rStyle w:val="VerbatimChar"/>
        </w:rPr>
        <w:t xml:space="preserve">kmsimulate()</w:t>
      </w:r>
      <w:r>
        <w:t xml:space="preserve"> </w:t>
      </w:r>
      <w:r>
        <w:t xml:space="preserve">simulates response patterns applying the BLIM model.</w:t>
      </w:r>
    </w:p>
    <w:bookmarkEnd w:id="49"/>
    <w:bookmarkStart w:id="56" w:name="kmassess"/>
    <w:p>
      <w:pPr>
        <w:pStyle w:val="Heading3"/>
      </w:pPr>
      <w:r>
        <w:rPr>
          <w:rStyle w:val="SectionNumber"/>
        </w:rPr>
        <w:t xml:space="preserve">3.2.5</w:t>
      </w:r>
      <w:r>
        <w:tab/>
      </w:r>
      <w:r>
        <w:t xml:space="preserve">Knowledge assessment</w:t>
      </w:r>
    </w:p>
    <w:p>
      <w:pPr>
        <w:pStyle w:val="FirstParagraph"/>
      </w:pPr>
      <w:r>
        <w:t xml:space="preserve">Adaptive knowledge assessment was the original aim behind developing KST</w:t>
      </w:r>
      <w:r>
        <w:t xml:space="preserve"> </w:t>
      </w:r>
      <w:r>
        <w:t xml:space="preserve">(</w:t>
      </w:r>
      <w:hyperlink w:anchor="ref-doignon:85">
        <w:r>
          <w:rPr>
            <w:rStyle w:val="Hyperlink"/>
          </w:rPr>
          <w:t xml:space="preserve">Doignon and Falmagne 1985</w:t>
        </w:r>
      </w:hyperlink>
      <w:r>
        <w:t xml:space="preserve">)</w:t>
      </w:r>
      <w:r>
        <w:t xml:space="preserve">. There is quite some literature on this topic</w:t>
      </w:r>
      <w:r>
        <w:t xml:space="preserve"> </w:t>
      </w:r>
      <w:r>
        <w:t xml:space="preserve">(see, e.g.,</w:t>
      </w:r>
      <w:r>
        <w:t xml:space="preserve"> </w:t>
      </w:r>
      <w:hyperlink w:anchor="ref-degreef:86">
        <w:r>
          <w:rPr>
            <w:rStyle w:val="Hyperlink"/>
          </w:rPr>
          <w:t xml:space="preserve">Degreef et al. 1986</w:t>
        </w:r>
      </w:hyperlink>
      <w:r>
        <w:t xml:space="preserve">;</w:t>
      </w:r>
      <w:r>
        <w:t xml:space="preserve"> </w:t>
      </w:r>
      <w:hyperlink w:anchor="ref-falmagne:88b">
        <w:r>
          <w:rPr>
            <w:rStyle w:val="Hyperlink"/>
          </w:rPr>
          <w:t xml:space="preserve">Falmagne and Doignon 1988b</w:t>
        </w:r>
      </w:hyperlink>
      <w:r>
        <w:t xml:space="preserve">;</w:t>
      </w:r>
      <w:r>
        <w:t xml:space="preserve"> </w:t>
      </w:r>
      <w:hyperlink w:anchor="ref-dowling:01">
        <w:r>
          <w:rPr>
            <w:rStyle w:val="Hyperlink"/>
          </w:rPr>
          <w:t xml:space="preserve">Dowling and Hockemeyer 2001</w:t>
        </w:r>
      </w:hyperlink>
      <w:r>
        <w:t xml:space="preserve">;</w:t>
      </w:r>
      <w:r>
        <w:t xml:space="preserve"> </w:t>
      </w:r>
      <w:hyperlink w:anchor="ref-hockemeyer:02">
        <w:r>
          <w:rPr>
            <w:rStyle w:val="Hyperlink"/>
          </w:rPr>
          <w:t xml:space="preserve">Hockemeyer 2002</w:t>
        </w:r>
      </w:hyperlink>
      <w:r>
        <w:t xml:space="preserve">;</w:t>
      </w:r>
      <w:r>
        <w:t xml:space="preserve"> </w:t>
      </w:r>
      <w:hyperlink w:anchor="ref-augustin:15">
        <w:r>
          <w:rPr>
            <w:rStyle w:val="Hyperlink"/>
          </w:rPr>
          <w:t xml:space="preserve">Augustin et al. 2015</w:t>
        </w:r>
      </w:hyperlink>
      <w:r>
        <w:t xml:space="preserve">)</w:t>
      </w:r>
      <w:r>
        <w:t xml:space="preserve">.</w:t>
      </w:r>
      <w:r>
        <w:t xml:space="preserve"> </w:t>
      </w:r>
      <w:r>
        <w:t xml:space="preserve">An assessment routine usually has three key components:</w:t>
      </w:r>
    </w:p>
    <w:p>
      <w:pPr>
        <w:pStyle w:val="Compact"/>
        <w:numPr>
          <w:ilvl w:val="0"/>
          <w:numId w:val="1005"/>
        </w:numPr>
      </w:pPr>
      <w:r>
        <w:t xml:space="preserve">A</w:t>
      </w:r>
      <w:r>
        <w:t xml:space="preserve"> </w:t>
      </w:r>
      <w:r>
        <w:rPr>
          <w:i/>
          <w:iCs/>
        </w:rPr>
        <w:t xml:space="preserve">questioning rule</w:t>
      </w:r>
      <w:r>
        <w:t xml:space="preserve"> </w:t>
      </w:r>
      <w:r>
        <w:t xml:space="preserve">selecting the next test items to be asked,</w:t>
      </w:r>
    </w:p>
    <w:p>
      <w:pPr>
        <w:pStyle w:val="Compact"/>
        <w:numPr>
          <w:ilvl w:val="0"/>
          <w:numId w:val="1005"/>
        </w:numPr>
      </w:pPr>
      <w:r>
        <w:t xml:space="preserve">An</w:t>
      </w:r>
      <w:r>
        <w:t xml:space="preserve"> </w:t>
      </w:r>
      <w:r>
        <w:rPr>
          <w:i/>
          <w:iCs/>
        </w:rPr>
        <w:t xml:space="preserve">update rule</w:t>
      </w:r>
      <w:r>
        <w:t xml:space="preserve"> </w:t>
      </w:r>
      <w:r>
        <w:t xml:space="preserve">determining how to update the user’s profile</w:t>
      </w:r>
      <w:r>
        <w:t xml:space="preserve"> </w:t>
      </w:r>
      <w:r>
        <w:t xml:space="preserve">after evaluating their response to the test item, and</w:t>
      </w:r>
    </w:p>
    <w:p>
      <w:pPr>
        <w:pStyle w:val="Compact"/>
        <w:numPr>
          <w:ilvl w:val="0"/>
          <w:numId w:val="1005"/>
        </w:numPr>
      </w:pPr>
      <w:r>
        <w:t xml:space="preserve">A</w:t>
      </w:r>
      <w:r>
        <w:t xml:space="preserve"> </w:t>
      </w:r>
      <w:r>
        <w:rPr>
          <w:i/>
          <w:iCs/>
        </w:rPr>
        <w:t xml:space="preserve">stopping criterion</w:t>
      </w:r>
      <w:r>
        <w:t xml:space="preserve"> </w:t>
      </w:r>
      <w:r>
        <w:t xml:space="preserve">to decide when enough information has been</w:t>
      </w:r>
      <w:r>
        <w:t xml:space="preserve"> </w:t>
      </w:r>
      <w:r>
        <w:t xml:space="preserve">collected and the assessment is finished.</w:t>
      </w:r>
    </w:p>
    <w:p>
      <w:pPr>
        <w:pStyle w:val="FirstParagraph"/>
      </w:pPr>
      <w:r>
        <w:rPr>
          <w:rStyle w:val="VerbatimChar"/>
        </w:rPr>
        <w:t xml:space="preserve">kstMatrix</w:t>
      </w:r>
      <w:r>
        <w:t xml:space="preserve"> </w:t>
      </w:r>
      <w:r>
        <w:t xml:space="preserve">implements the stochastic procedures introduced by</w:t>
      </w:r>
      <w:r>
        <w:t xml:space="preserve"> </w:t>
      </w:r>
      <w:r>
        <w:t xml:space="preserve">Falmagne and Doignon (</w:t>
      </w:r>
      <w:hyperlink w:anchor="ref-falmagne:88b">
        <w:r>
          <w:rPr>
            <w:rStyle w:val="Hyperlink"/>
          </w:rPr>
          <w:t xml:space="preserve">1988b</w:t>
        </w:r>
      </w:hyperlink>
      <w:r>
        <w:t xml:space="preserve">)</w:t>
      </w:r>
      <w:r>
        <w:t xml:space="preserve"> </w:t>
      </w:r>
      <w:r>
        <w:t xml:space="preserve">in the notation used by</w:t>
      </w:r>
      <w:r>
        <w:t xml:space="preserve"> </w:t>
      </w:r>
      <w:r>
        <w:t xml:space="preserve">Doignon and Falmagne (</w:t>
      </w:r>
      <w:hyperlink w:anchor="ref-doignon:b99">
        <w:r>
          <w:rPr>
            <w:rStyle w:val="Hyperlink"/>
          </w:rPr>
          <w:t xml:space="preserve">1999</w:t>
        </w:r>
      </w:hyperlink>
      <w:r>
        <w:t xml:space="preserve">)</w:t>
      </w:r>
      <w:r>
        <w:t xml:space="preserve"> </w:t>
      </w:r>
      <w:r>
        <w:t xml:space="preserve">(Chapter 10).</w:t>
      </w:r>
    </w:p>
    <w:p>
      <w:pPr>
        <w:pStyle w:val="BodyText"/>
      </w:pPr>
      <w:r>
        <w:t xml:space="preserve">For the questioning rule, the</w:t>
      </w:r>
      <w:r>
        <w:t xml:space="preserve"> </w:t>
      </w:r>
      <w:r>
        <w:rPr>
          <w:i/>
          <w:iCs/>
        </w:rPr>
        <w:t xml:space="preserve">halfsplit</w:t>
      </w:r>
      <w:r>
        <w:t xml:space="preserve"> </w:t>
      </w:r>
      <w:r>
        <w:t xml:space="preserve">rule and the</w:t>
      </w:r>
      <w:r>
        <w:t xml:space="preserve"> </w:t>
      </w:r>
      <w:r>
        <w:rPr>
          <w:i/>
          <w:iCs/>
        </w:rPr>
        <w:t xml:space="preserve">informative</w:t>
      </w:r>
      <w:r>
        <w:t xml:space="preserve"> </w:t>
      </w:r>
      <w:r>
        <w:t xml:space="preserve">rule</w:t>
      </w:r>
      <w:r>
        <w:t xml:space="preserve"> </w:t>
      </w:r>
      <w:r>
        <w:t xml:space="preserve">are implemented. For the update rule, the</w:t>
      </w:r>
      <w:r>
        <w:t xml:space="preserve"> </w:t>
      </w:r>
      <w:r>
        <w:rPr>
          <w:i/>
          <w:iCs/>
        </w:rPr>
        <w:t xml:space="preserve">Bayesian</w:t>
      </w:r>
      <w:r>
        <w:t xml:space="preserve"> </w:t>
      </w:r>
      <w:r>
        <w:t xml:space="preserve">and the</w:t>
      </w:r>
      <w:r>
        <w:t xml:space="preserve"> </w:t>
      </w:r>
      <w:r>
        <w:rPr>
          <w:i/>
          <w:iCs/>
        </w:rPr>
        <w:t xml:space="preserve">informative</w:t>
      </w:r>
      <w:r>
        <w:t xml:space="preserve"> </w:t>
      </w:r>
      <w:r>
        <w:t xml:space="preserve">rules are implemented. As a stopping criterion, a probability threshold can be</w:t>
      </w:r>
      <w:r>
        <w:t xml:space="preserve"> </w:t>
      </w:r>
      <w:r>
        <w:t xml:space="preserve">specified; the assessment stops when the maximal likelihood of a knowledge</w:t>
      </w:r>
      <w:r>
        <w:t xml:space="preserve"> </w:t>
      </w:r>
      <w:r>
        <w:t xml:space="preserve">state exceeds this threshold.</w:t>
      </w:r>
    </w:p>
    <w:p>
      <w:pPr>
        <w:pStyle w:val="BodyText"/>
      </w:pPr>
      <w:r>
        <w:t xml:space="preserve">There is a general</w:t>
      </w:r>
      <w:r>
        <w:t xml:space="preserve"> </w:t>
      </w:r>
      <w:r>
        <w:rPr>
          <w:rStyle w:val="VerbatimChar"/>
        </w:rPr>
        <w:t xml:space="preserve">kmassess()</w:t>
      </w:r>
      <w:r>
        <w:t xml:space="preserve"> </w:t>
      </w:r>
      <w:r>
        <w:t xml:space="preserve">function and a simpler</w:t>
      </w:r>
      <w:r>
        <w:t xml:space="preserve"> </w:t>
      </w:r>
      <w:r>
        <w:rPr>
          <w:rStyle w:val="VerbatimChar"/>
        </w:rPr>
        <w:t xml:space="preserve">kmsassess()</w:t>
      </w:r>
      <w:r>
        <w:t xml:space="preserve"> </w:t>
      </w:r>
      <w:r>
        <w:t xml:space="preserve">version;</w:t>
      </w:r>
      <w:r>
        <w:t xml:space="preserve"> </w:t>
      </w:r>
      <w:r>
        <w:t xml:space="preserve">the former provides for item-specific update parameters while the latter</w:t>
      </w:r>
      <w:r>
        <w:t xml:space="preserve"> </w:t>
      </w:r>
      <w:r>
        <w:t xml:space="preserve">assumes that the update parameters are identical for all items. Furthermore,</w:t>
      </w:r>
      <w:r>
        <w:t xml:space="preserve"> </w:t>
      </w:r>
      <w:r>
        <w:rPr>
          <w:rStyle w:val="VerbatimChar"/>
        </w:rPr>
        <w:t xml:space="preserve">kmsassess()</w:t>
      </w:r>
      <w:r>
        <w:t xml:space="preserve">starts with an equal probability distribution over the knowledge</w:t>
      </w:r>
      <w:r>
        <w:t xml:space="preserve"> </w:t>
      </w:r>
      <w:r>
        <w:t xml:space="preserve">structure while</w:t>
      </w:r>
      <w:r>
        <w:t xml:space="preserve"> </w:t>
      </w:r>
      <w:r>
        <w:rPr>
          <w:rStyle w:val="VerbatimChar"/>
        </w:rPr>
        <w:t xml:space="preserve">kmassess()</w:t>
      </w:r>
      <w:r>
        <w:t xml:space="preserve"> </w:t>
      </w:r>
      <w:r>
        <w:t xml:space="preserve">provides for more detailed information also here.</w:t>
      </w:r>
    </w:p>
    <w:p>
      <w:pPr>
        <w:pStyle w:val="BodyText"/>
      </w:pPr>
      <w:r>
        <w:t xml:space="preserve">We do an assessment with halfsplit questioning rule and Bayesian update rule</w:t>
      </w:r>
      <w:r>
        <w:t xml:space="preserve"> </w:t>
      </w:r>
      <w:r>
        <w:t xml:space="preserve">assuming a general caress error probability of 0.1 and a lucky guess</w:t>
      </w:r>
      <w:r>
        <w:t xml:space="preserve"> </w:t>
      </w:r>
      <w:r>
        <w:t xml:space="preserve">probability of 0.05 stopping at a probability threshold of 0.6.</w:t>
      </w:r>
    </w:p>
    <w:p>
      <w:pPr>
        <w:pStyle w:val="SourceCode"/>
      </w:pPr>
      <w:r>
        <w:rPr>
          <w:rStyle w:val="FunctionTok"/>
        </w:rPr>
        <w:t xml:space="preserve">kmsassess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), ksp, </w:t>
      </w:r>
      <w:r>
        <w:rPr>
          <w:rStyle w:val="StringTok"/>
        </w:rPr>
        <w:t xml:space="preserve">"halfsplit"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"Bayesian"</w:t>
      </w:r>
      <w:r>
        <w:rPr>
          <w:rStyle w:val="NormalTok"/>
        </w:rPr>
        <w:t xml:space="preserve">, </w:t>
      </w:r>
      <w:r>
        <w:br/>
      </w:r>
      <w:r>
        <w:rPr>
          <w:rStyle w:val="NormalTok"/>
        </w:rPr>
        <w:t xml:space="preserve">          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0.6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$state</w:t>
      </w:r>
      <w:r>
        <w:br/>
      </w:r>
      <w:r>
        <w:rPr>
          <w:rStyle w:val="CommentTok"/>
        </w:rPr>
        <w:t xml:space="preserve">#&gt; [1] 1 1 1 1 0 0 0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$probs</w:t>
      </w:r>
      <w:r>
        <w:br/>
      </w:r>
      <w:r>
        <w:rPr>
          <w:rStyle w:val="CommentTok"/>
        </w:rPr>
        <w:t xml:space="preserve">#&gt;  [1] 1.246134e-04 2.243041e-03 1.246134e-04 2.243041e-03</w:t>
      </w:r>
      <w:r>
        <w:br/>
      </w:r>
      <w:r>
        <w:rPr>
          <w:rStyle w:val="CommentTok"/>
        </w:rPr>
        <w:t xml:space="preserve">#&gt;  [5] 2.243041e-03 4.037474e-02 2.243041e-03 4.037474e-02</w:t>
      </w:r>
      <w:r>
        <w:br/>
      </w:r>
      <w:r>
        <w:rPr>
          <w:rStyle w:val="CommentTok"/>
        </w:rPr>
        <w:t xml:space="preserve">#&gt;  [9] 7.267453e-01 1.311720e-05 2.361096e-04 2.361096e-04</w:t>
      </w:r>
      <w:r>
        <w:br/>
      </w:r>
      <w:r>
        <w:rPr>
          <w:rStyle w:val="CommentTok"/>
        </w:rPr>
        <w:t xml:space="preserve">#&gt; [13] 4.249972e-03 7.649950e-02 2.361096e-04 4.249972e-03</w:t>
      </w:r>
      <w:r>
        <w:br/>
      </w:r>
      <w:r>
        <w:rPr>
          <w:rStyle w:val="CommentTok"/>
        </w:rPr>
        <w:t xml:space="preserve">#&gt; [17] 2.361096e-04 4.249972e-03 7.649950e-02 2.485364e-05</w:t>
      </w:r>
      <w:r>
        <w:br/>
      </w:r>
      <w:r>
        <w:rPr>
          <w:rStyle w:val="CommentTok"/>
        </w:rPr>
        <w:t xml:space="preserve">#&gt; [21] 4.473655e-04 8.052579e-03 8.052579e-03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$queried</w:t>
      </w:r>
      <w:r>
        <w:br/>
      </w:r>
      <w:r>
        <w:rPr>
          <w:rStyle w:val="CommentTok"/>
        </w:rPr>
        <w:t xml:space="preserve">#&gt; [1] 5 1 6 3 4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$qtime</w:t>
      </w:r>
      <w:r>
        <w:br/>
      </w:r>
      <w:r>
        <w:rPr>
          <w:rStyle w:val="CommentTok"/>
        </w:rPr>
        <w:t xml:space="preserve">#&gt; [1] 0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$utime</w:t>
      </w:r>
      <w:r>
        <w:br/>
      </w:r>
      <w:r>
        <w:rPr>
          <w:rStyle w:val="CommentTok"/>
        </w:rPr>
        <w:t xml:space="preserve">#&gt; [1] 0</w:t>
      </w:r>
    </w:p>
    <w:p>
      <w:pPr>
        <w:pStyle w:val="FirstParagraph"/>
      </w:pPr>
      <w:r>
        <w:t xml:space="preserve">Five questions (out of 7) have been asked. This is not too much saving</w:t>
      </w:r>
      <w:r>
        <w:t xml:space="preserve"> </w:t>
      </w:r>
      <w:r>
        <w:t xml:space="preserve">but the ratio improves normally considerably with higher item and state</w:t>
      </w:r>
      <w:r>
        <w:t xml:space="preserve"> </w:t>
      </w:r>
      <w:r>
        <w:t xml:space="preserve">numbers. The ninth probability value with 0.727 denotes the highest one.</w:t>
      </w:r>
    </w:p>
    <w:p>
      <w:pPr>
        <w:pStyle w:val="BodyText"/>
      </w:pPr>
      <w:r>
        <w:t xml:space="preserve">With an optional additional parameter</w:t>
      </w:r>
      <w:r>
        <w:t xml:space="preserve"> </w:t>
      </w:r>
      <w:r>
        <w:rPr>
          <w:rStyle w:val="VerbatimChar"/>
        </w:rPr>
        <w:t xml:space="preserve">probdev=TRUE</w:t>
      </w:r>
      <w:r>
        <w:t xml:space="preserve"> </w:t>
      </w:r>
      <w:r>
        <w:t xml:space="preserve">one gets additional</w:t>
      </w:r>
      <w:r>
        <w:t xml:space="preserve"> </w:t>
      </w:r>
      <w:r>
        <w:t xml:space="preserve">information on how the probability distribution has developed over the</w:t>
      </w:r>
      <w:r>
        <w:t xml:space="preserve"> </w:t>
      </w:r>
      <w:r>
        <w:t xml:space="preserve">assessment process. If additionally a</w:t>
      </w:r>
      <w:r>
        <w:t xml:space="preserve"> </w:t>
      </w:r>
      <w:r>
        <w:rPr>
          <w:rStyle w:val="VerbatimChar"/>
        </w:rPr>
        <w:t xml:space="preserve">directory</w:t>
      </w:r>
      <w:r>
        <w:t xml:space="preserve"> </w:t>
      </w:r>
      <w:r>
        <w:t xml:space="preserve">is specified,</w:t>
      </w:r>
      <w:r>
        <w:t xml:space="preserve"> </w:t>
      </w:r>
      <w:r>
        <w:t xml:space="preserve">this is also illustrated graphically.</w:t>
      </w:r>
    </w:p>
    <w:p>
      <w:pPr>
        <w:pStyle w:val="BodyText"/>
      </w:pPr>
      <w:r>
        <w:drawing>
          <wp:inline>
            <wp:extent cx="2133600" cy="2084901"/>
            <wp:effectExtent b="0" l="0" r="0" t="0"/>
            <wp:docPr descr="Assessment process steps" title="" id="51" name="Picture"/>
            <a:graphic>
              <a:graphicData uri="http://schemas.openxmlformats.org/drawingml/2006/picture">
                <pic:pic>
                  <pic:nvPicPr>
                    <pic:cNvPr descr="Hockemeyer_KST-R_files/figures/assess-fig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0849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133600" cy="2084901"/>
            <wp:effectExtent b="0" l="0" r="0" t="0"/>
            <wp:docPr descr="Assessment process steps" title="" id="54" name="Picture"/>
            <a:graphic>
              <a:graphicData uri="http://schemas.openxmlformats.org/drawingml/2006/picture">
                <pic:pic>
                  <pic:nvPicPr>
                    <pic:cNvPr descr="Hockemeyer_KST-R_files/figures/assess-fig5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0849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Figure 9 shows these illustration after the second and after the final, fifth</w:t>
      </w:r>
      <w:r>
        <w:t xml:space="preserve"> </w:t>
      </w:r>
      <w:r>
        <w:t xml:space="preserve">step of the assessment. The differently colored vertices in the graph represent</w:t>
      </w:r>
      <w:r>
        <w:t xml:space="preserve"> </w:t>
      </w:r>
      <w:r>
        <w:t xml:space="preserve">the different likelihoods.</w:t>
      </w:r>
    </w:p>
    <w:bookmarkEnd w:id="56"/>
    <w:bookmarkStart w:id="57" w:name="kmdatasets"/>
    <w:p>
      <w:pPr>
        <w:pStyle w:val="Heading3"/>
      </w:pPr>
      <w:r>
        <w:rPr>
          <w:rStyle w:val="SectionNumber"/>
        </w:rPr>
        <w:t xml:space="preserve">3.2.6</w:t>
      </w:r>
      <w:r>
        <w:tab/>
      </w:r>
      <w:r>
        <w:t xml:space="preserve">Data sets</w:t>
      </w:r>
    </w:p>
    <w:p>
      <w:pPr>
        <w:pStyle w:val="FirstParagraph"/>
      </w:pPr>
      <w:r>
        <w:rPr>
          <w:rStyle w:val="VerbatimChar"/>
        </w:rPr>
        <w:t xml:space="preserve">kstMatrix</w:t>
      </w:r>
      <w:r>
        <w:t xml:space="preserve"> </w:t>
      </w:r>
      <w:r>
        <w:t xml:space="preserve">provides several data sets, i.e. knowledge spaces. On the</w:t>
      </w:r>
      <w:r>
        <w:t xml:space="preserve"> </w:t>
      </w:r>
      <w:r>
        <w:t xml:space="preserve">one side, there are empirical structures obtained by the group around Cornelia</w:t>
      </w:r>
      <w:r>
        <w:t xml:space="preserve"> </w:t>
      </w:r>
      <w:r>
        <w:t xml:space="preserve">Dowling in the early 90s</w:t>
      </w:r>
      <w:r>
        <w:t xml:space="preserve"> </w:t>
      </w:r>
      <w:r>
        <w:t xml:space="preserve">(</w:t>
      </w:r>
      <w:hyperlink w:anchor="ref-dowling:93a">
        <w:r>
          <w:rPr>
            <w:rStyle w:val="Hyperlink"/>
          </w:rPr>
          <w:t xml:space="preserve">Dowling 1993</w:t>
        </w:r>
      </w:hyperlink>
      <w:r>
        <w:t xml:space="preserve">;</w:t>
      </w:r>
      <w:r>
        <w:t xml:space="preserve"> </w:t>
      </w:r>
      <w:hyperlink w:anchor="ref-baumunk:97">
        <w:r>
          <w:rPr>
            <w:rStyle w:val="Hyperlink"/>
          </w:rPr>
          <w:t xml:space="preserve">Baumunk and Dowling 1997</w:t>
        </w:r>
      </w:hyperlink>
      <w:r>
        <w:t xml:space="preserve">)</w:t>
      </w:r>
      <w:r>
        <w:t xml:space="preserve"> </w:t>
      </w:r>
      <w:r>
        <w:t xml:space="preserve">through querying experts.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readwrite</w:t>
      </w:r>
      <w:r>
        <w:t xml:space="preserve">: Knowledge structures on reading and writing abilities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cad</w:t>
      </w:r>
      <w:r>
        <w:t xml:space="preserve">: Abilities on working with AutoCAD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fractions</w:t>
      </w:r>
      <w:r>
        <w:t xml:space="preserve">: Abilities on fractions</w:t>
      </w:r>
    </w:p>
    <w:p>
      <w:pPr>
        <w:pStyle w:val="FirstParagraph"/>
      </w:pPr>
      <w:r>
        <w:t xml:space="preserve">Each of these data sets is a list containing different bases.</w:t>
      </w:r>
    </w:p>
    <w:p>
      <w:pPr>
        <w:pStyle w:val="BodyText"/>
      </w:pPr>
      <w:r>
        <w:t xml:space="preserve">On the other side, there are two fictional data sets, each a list with</w:t>
      </w:r>
      <w:r>
        <w:t xml:space="preserve"> </w:t>
      </w:r>
      <w:r>
        <w:t xml:space="preserve">different aspects.</w:t>
      </w:r>
      <w:r>
        <w:t xml:space="preserve"> </w:t>
      </w:r>
      <w:r>
        <w:rPr>
          <w:rStyle w:val="VerbatimChar"/>
        </w:rPr>
        <w:t xml:space="preserve">xpl</w:t>
      </w:r>
      <w:r>
        <w:t xml:space="preserve"> </w:t>
      </w:r>
      <w:r>
        <w:t xml:space="preserve">is a four items structure used four testing</w:t>
      </w:r>
      <w:r>
        <w:t xml:space="preserve"> </w:t>
      </w:r>
      <w:r>
        <w:t xml:space="preserve">purposes in the development of</w:t>
      </w:r>
      <w:r>
        <w:t xml:space="preserve"> </w:t>
      </w:r>
      <w:r>
        <w:rPr>
          <w:rStyle w:val="VerbatimChar"/>
        </w:rPr>
        <w:t xml:space="preserve">kstMatrix</w:t>
      </w:r>
      <w:r>
        <w:t xml:space="preserve">,</w:t>
      </w:r>
      <w:r>
        <w:t xml:space="preserve"> </w:t>
      </w:r>
      <w:r>
        <w:rPr>
          <w:rStyle w:val="VerbatimChar"/>
        </w:rPr>
        <w:t xml:space="preserve">phsg</w:t>
      </w:r>
      <w:r>
        <w:t xml:space="preserve"> </w:t>
      </w:r>
      <w:r>
        <w:t xml:space="preserve">is a data</w:t>
      </w:r>
      <w:r>
        <w:t xml:space="preserve"> </w:t>
      </w:r>
      <w:r>
        <w:t xml:space="preserve">set used in a publication by</w:t>
      </w:r>
      <w:r>
        <w:t xml:space="preserve"> </w:t>
      </w:r>
      <w:r>
        <w:t xml:space="preserve">Steiner et al. (</w:t>
      </w:r>
      <w:hyperlink w:anchor="ref-steiner:wilson">
        <w:r>
          <w:rPr>
            <w:rStyle w:val="Hyperlink"/>
          </w:rPr>
          <w:t xml:space="preserve">in press</w:t>
        </w:r>
      </w:hyperlink>
      <w:r>
        <w:t xml:space="preserve">)</w:t>
      </w:r>
      <w:r>
        <w:t xml:space="preserve">.</w:t>
      </w:r>
    </w:p>
    <w:bookmarkEnd w:id="57"/>
    <w:bookmarkEnd w:id="58"/>
    <w:bookmarkStart w:id="62" w:name="kstio"/>
    <w:p>
      <w:pPr>
        <w:pStyle w:val="Heading2"/>
      </w:pPr>
      <w:r>
        <w:rPr>
          <w:rStyle w:val="SectionNumber"/>
        </w:rPr>
        <w:t xml:space="preserve">3.3</w:t>
      </w:r>
      <w:r>
        <w:tab/>
      </w:r>
      <w:r>
        <w:rPr>
          <w:rStyle w:val="VerbatimChar"/>
        </w:rPr>
        <w:t xml:space="preserve">kstIO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kstIO</w:t>
      </w:r>
      <w:r>
        <w:t xml:space="preserve"> </w:t>
      </w:r>
      <w:r>
        <w:t xml:space="preserve">package offers functions for reading and writing KST</w:t>
      </w:r>
      <w:r>
        <w:t xml:space="preserve"> </w:t>
      </w:r>
      <w:r>
        <w:t xml:space="preserve">files. It support both, set and matrix representations. There are separate</w:t>
      </w:r>
      <w:r>
        <w:t xml:space="preserve"> </w:t>
      </w:r>
      <w:r>
        <w:t xml:space="preserve">reading and writing functions for the various data types.</w:t>
      </w:r>
    </w:p>
    <w:p>
      <w:pPr>
        <w:pStyle w:val="BodyText"/>
      </w:pPr>
      <w:r>
        <w:t xml:space="preserve">The reading functions return a list with two elements,</w:t>
      </w:r>
      <w:r>
        <w:t xml:space="preserve"> </w:t>
      </w:r>
      <w:r>
        <w:rPr>
          <w:rStyle w:val="VerbatimChar"/>
        </w:rPr>
        <w:t xml:space="preserve">matrix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sets</w:t>
      </w:r>
      <w:r>
        <w:t xml:space="preserve"> </w:t>
      </w:r>
      <w:r>
        <w:t xml:space="preserve">if</w:t>
      </w:r>
      <w:r>
        <w:t xml:space="preserve"> </w:t>
      </w:r>
      <w:r>
        <w:t xml:space="preserve">the respective data type is available in the</w:t>
      </w:r>
      <w:r>
        <w:t xml:space="preserve"> </w:t>
      </w:r>
      <w:r>
        <w:rPr>
          <w:rStyle w:val="VerbatimChar"/>
        </w:rPr>
        <w:t xml:space="preserve">kst</w:t>
      </w:r>
      <w:r>
        <w:t xml:space="preserve"> </w:t>
      </w:r>
      <w:r>
        <w:t xml:space="preserve">package. Otherwise</w:t>
      </w:r>
      <w:r>
        <w:t xml:space="preserve"> </w:t>
      </w:r>
      <w:r>
        <w:t xml:space="preserve">it is only the respective</w:t>
      </w:r>
      <w:r>
        <w:t xml:space="preserve"> </w:t>
      </w:r>
      <w:r>
        <w:rPr>
          <w:rStyle w:val="VerbatimChar"/>
        </w:rPr>
        <w:t xml:space="preserve">kstMatrix</w:t>
      </w:r>
      <w:r>
        <w:t xml:space="preserve"> </w:t>
      </w:r>
      <w:r>
        <w:t xml:space="preserve">structure.</w:t>
      </w:r>
    </w:p>
    <w:p>
      <w:pPr>
        <w:pStyle w:val="BodyText"/>
      </w:pPr>
      <w:r>
        <w:t xml:space="preserve">The classical KST file formats are basically binary text matrices with optional</w:t>
      </w:r>
      <w:r>
        <w:t xml:space="preserve"> </w:t>
      </w:r>
      <w:r>
        <w:t xml:space="preserve">header lines providing additional information. More recently,</w:t>
      </w:r>
      <w:r>
        <w:t xml:space="preserve"> </w:t>
      </w:r>
      <w:r>
        <w:rPr>
          <w:rStyle w:val="VerbatimChar"/>
        </w:rPr>
        <w:t xml:space="preserve">kstIO</w:t>
      </w:r>
      <w:r>
        <w:t xml:space="preserve"> </w:t>
      </w:r>
      <w:r>
        <w:t xml:space="preserve">has been extended to also support spreadsheet file formats, namely CSV</w:t>
      </w:r>
      <w:r>
        <w:t xml:space="preserve"> </w:t>
      </w:r>
      <w:r>
        <w:t xml:space="preserve">(comma-separated values), ODS (LibreOffice/OpenOffice),, and XLSX (Microsoft</w:t>
      </w:r>
      <w:r>
        <w:t xml:space="preserve"> </w:t>
      </w:r>
      <w:r>
        <w:t xml:space="preserve">Excel).</w:t>
      </w:r>
    </w:p>
    <w:p>
      <w:pPr>
        <w:pStyle w:val="BodyText"/>
      </w:pPr>
      <w:r>
        <w:t xml:space="preserve">As an example, we save our basis to an ODS file, re-read it, and look at it</w:t>
      </w:r>
      <w:r>
        <w:t xml:space="preserve"> </w:t>
      </w:r>
      <w:r>
        <w:t xml:space="preserve">within OpenOffice.</w:t>
      </w:r>
    </w:p>
    <w:p>
      <w:pPr>
        <w:pStyle w:val="SourceCode"/>
      </w:pPr>
      <w:r>
        <w:rPr>
          <w:rStyle w:val="FunctionTok"/>
        </w:rPr>
        <w:t xml:space="preserve">write_kbase</w:t>
      </w:r>
      <w:r>
        <w:rPr>
          <w:rStyle w:val="NormalTok"/>
        </w:rPr>
        <w:t xml:space="preserve">(phsg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basis,</w:t>
      </w:r>
      <w:r>
        <w:rPr>
          <w:rStyle w:val="FunctionTok"/>
        </w:rPr>
        <w:t xml:space="preserve">paste0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tempdir</w:t>
      </w:r>
      <w:r>
        <w:rPr>
          <w:rStyle w:val="NormalTok"/>
        </w:rPr>
        <w:t xml:space="preserve">(), </w:t>
      </w:r>
      <w:r>
        <w:rPr>
          <w:rStyle w:val="StringTok"/>
        </w:rPr>
        <w:t xml:space="preserve">"/phsg_basis.ods"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read_kbase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paste0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tempdir</w:t>
      </w:r>
      <w:r>
        <w:rPr>
          <w:rStyle w:val="NormalTok"/>
        </w:rPr>
        <w:t xml:space="preserve">(), </w:t>
      </w:r>
      <w:r>
        <w:rPr>
          <w:rStyle w:val="StringTok"/>
        </w:rPr>
        <w:t xml:space="preserve">"/phsg_basis.ods"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$matrix</w:t>
      </w:r>
      <w:r>
        <w:br/>
      </w:r>
      <w:r>
        <w:rPr>
          <w:rStyle w:val="CommentTok"/>
        </w:rPr>
        <w:t xml:space="preserve">#&gt;      I1 I2 I3 I4 I5 I6 I7</w:t>
      </w:r>
      <w:r>
        <w:br/>
      </w:r>
      <w:r>
        <w:rPr>
          <w:rStyle w:val="CommentTok"/>
        </w:rPr>
        <w:t xml:space="preserve">#&gt; [1,]  1  0  0  0  0  0  0</w:t>
      </w:r>
      <w:r>
        <w:br/>
      </w:r>
      <w:r>
        <w:rPr>
          <w:rStyle w:val="CommentTok"/>
        </w:rPr>
        <w:t xml:space="preserve">#&gt; [2,]  0  1  0  0  0  0  0</w:t>
      </w:r>
      <w:r>
        <w:br/>
      </w:r>
      <w:r>
        <w:rPr>
          <w:rStyle w:val="CommentTok"/>
        </w:rPr>
        <w:t xml:space="preserve">#&gt; [3,]  0  0  1  0  0  0  0</w:t>
      </w:r>
      <w:r>
        <w:br/>
      </w:r>
      <w:r>
        <w:rPr>
          <w:rStyle w:val="CommentTok"/>
        </w:rPr>
        <w:t xml:space="preserve">#&gt; [4,]  1  1  1  1  0  0  0</w:t>
      </w:r>
      <w:r>
        <w:br/>
      </w:r>
      <w:r>
        <w:rPr>
          <w:rStyle w:val="CommentTok"/>
        </w:rPr>
        <w:t xml:space="preserve">#&gt; [5,]  0  1  0  0  1  0  0</w:t>
      </w:r>
      <w:r>
        <w:br/>
      </w:r>
      <w:r>
        <w:rPr>
          <w:rStyle w:val="CommentTok"/>
        </w:rPr>
        <w:t xml:space="preserve">#&gt; [6,]  0  0  1  0  0  1  0</w:t>
      </w:r>
      <w:r>
        <w:br/>
      </w:r>
      <w:r>
        <w:rPr>
          <w:rStyle w:val="CommentTok"/>
        </w:rPr>
        <w:t xml:space="preserve">#&gt; [7,]  1  1  1  1  1  1  1</w:t>
      </w:r>
      <w:r>
        <w:br/>
      </w:r>
      <w:r>
        <w:rPr>
          <w:rStyle w:val="CommentTok"/>
        </w:rPr>
        <w:t xml:space="preserve">#&gt; attr(,"class")</w:t>
      </w:r>
      <w:r>
        <w:br/>
      </w:r>
      <w:r>
        <w:rPr>
          <w:rStyle w:val="CommentTok"/>
        </w:rPr>
        <w:t xml:space="preserve">#&gt; [1] "kmbasis"  "kmfamset" "matrix"   "array"   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$sets</w:t>
      </w:r>
      <w:r>
        <w:br/>
      </w:r>
      <w:r>
        <w:rPr>
          <w:rStyle w:val="CommentTok"/>
        </w:rPr>
        <w:t xml:space="preserve">#&gt; {{"I1"}, {"I2"}, {"I3"}, {"I2", "I5"}, {"I3", "I6"},</w:t>
      </w:r>
      <w:r>
        <w:br/>
      </w:r>
      <w:r>
        <w:rPr>
          <w:rStyle w:val="CommentTok"/>
        </w:rPr>
        <w:t xml:space="preserve">#&gt;  {"I1", "I2", "I3", "I4"}, &lt;&lt;set(7)&gt;&gt;}</w:t>
      </w:r>
    </w:p>
    <w:p>
      <w:pPr>
        <w:pStyle w:val="CaptionedFigure"/>
      </w:pPr>
      <w:r>
        <w:drawing>
          <wp:inline>
            <wp:extent cx="2667000" cy="1834375"/>
            <wp:effectExtent b="0" l="0" r="0" t="0"/>
            <wp:docPr descr="OpenOffice screenshot of the saved basis file" title="" id="60" name="Picture"/>
            <a:graphic>
              <a:graphicData uri="http://schemas.openxmlformats.org/drawingml/2006/picture">
                <pic:pic>
                  <pic:nvPicPr>
                    <pic:cNvPr descr="Hockemeyer_KST-R_files/figures/ods_screenshot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834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OpenOffice screenshot of the saved basis file</w:t>
      </w:r>
    </w:p>
    <w:bookmarkEnd w:id="62"/>
    <w:bookmarkEnd w:id="63"/>
    <w:bookmarkStart w:id="68" w:name="extensions"/>
    <w:p>
      <w:pPr>
        <w:pStyle w:val="Heading1"/>
      </w:pPr>
      <w:r>
        <w:rPr>
          <w:rStyle w:val="SectionNumber"/>
        </w:rPr>
        <w:t xml:space="preserve">4</w:t>
      </w:r>
      <w:r>
        <w:tab/>
      </w:r>
      <w:r>
        <w:t xml:space="preserve">KST extensions</w:t>
      </w:r>
    </w:p>
    <w:bookmarkStart w:id="64" w:name="cbkstpkg"/>
    <w:p>
      <w:pPr>
        <w:pStyle w:val="Heading2"/>
      </w:pPr>
      <w:r>
        <w:rPr>
          <w:rStyle w:val="SectionNumber"/>
        </w:rPr>
        <w:t xml:space="preserve">4.1</w:t>
      </w:r>
      <w:r>
        <w:tab/>
      </w:r>
      <w:r>
        <w:rPr>
          <w:rStyle w:val="VerbatimChar"/>
        </w:rPr>
        <w:t xml:space="preserve">CbKST</w:t>
      </w:r>
    </w:p>
    <w:p>
      <w:pPr>
        <w:pStyle w:val="FirstParagraph"/>
      </w:pPr>
      <w:r>
        <w:t xml:space="preserve">In CbKST, we distinguish between the level of observable response behavior</w:t>
      </w:r>
      <w:r>
        <w:t xml:space="preserve"> </w:t>
      </w:r>
      <w:r>
        <w:t xml:space="preserve">to test items and the level of underlying (non-observable) skills and</w:t>
      </w:r>
      <w:r>
        <w:t xml:space="preserve"> </w:t>
      </w:r>
      <w:r>
        <w:t xml:space="preserve">cimpetencies. Within each of these levels, the functions provided by the</w:t>
      </w:r>
      <w:r>
        <w:t xml:space="preserve"> </w:t>
      </w:r>
      <w:r>
        <w:rPr>
          <w:rStyle w:val="VerbatimChar"/>
        </w:rPr>
        <w:t xml:space="preserve">kstMatrix</w:t>
      </w:r>
      <w:r>
        <w:t xml:space="preserve"> </w:t>
      </w:r>
      <w:r>
        <w:t xml:space="preserve">package (see</w:t>
      </w:r>
      <w:r>
        <w:t xml:space="preserve"> </w:t>
      </w:r>
      <w:hyperlink w:anchor="kstmatrixpkg">
        <w:r>
          <w:rPr>
            <w:rStyle w:val="Hyperlink"/>
          </w:rPr>
          <w:t xml:space="preserve">above</w:t>
        </w:r>
      </w:hyperlink>
      <w:r>
        <w:t xml:space="preserve">)</w:t>
      </w:r>
      <w:r>
        <w:t xml:space="preserve"> </w:t>
      </w:r>
      <w:r>
        <w:t xml:space="preserve">can be used. The</w:t>
      </w:r>
      <w:r>
        <w:t xml:space="preserve"> </w:t>
      </w:r>
      <w:r>
        <w:rPr>
          <w:rStyle w:val="VerbatimChar"/>
        </w:rPr>
        <w:t xml:space="preserve">CbKST</w:t>
      </w:r>
      <w:r>
        <w:t xml:space="preserve"> </w:t>
      </w:r>
      <w:r>
        <w:t xml:space="preserve">(</w:t>
      </w:r>
      <w:hyperlink w:anchor="ref-hockemeyer:cbkst">
        <w:r>
          <w:rPr>
            <w:rStyle w:val="Hyperlink"/>
          </w:rPr>
          <w:t xml:space="preserve">Hockemeyer 2026a</w:t>
        </w:r>
      </w:hyperlink>
      <w:r>
        <w:t xml:space="preserve">)</w:t>
      </w:r>
      <w:r>
        <w:t xml:space="preserve"> </w:t>
      </w:r>
      <w:r>
        <w:t xml:space="preserve">package caters (only)</w:t>
      </w:r>
      <w:r>
        <w:t xml:space="preserve"> </w:t>
      </w:r>
      <w:r>
        <w:t xml:space="preserve">for the connection between these levels.</w:t>
      </w:r>
    </w:p>
    <w:p>
      <w:pPr>
        <w:pStyle w:val="BodyText"/>
      </w:pPr>
      <w:r>
        <w:t xml:space="preserve">Core concepts in CbKST are</w:t>
      </w:r>
      <w:r>
        <w:t xml:space="preserve"> </w:t>
      </w:r>
      <w:r>
        <w:rPr>
          <w:i/>
          <w:iCs/>
        </w:rPr>
        <w:t xml:space="preserve">skill maps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skill multi maps.</w:t>
      </w:r>
      <w:r>
        <w:t xml:space="preserve"> </w:t>
      </w:r>
      <w:r>
        <w:t xml:space="preserve">For the</w:t>
      </w:r>
      <w:r>
        <w:t xml:space="preserve"> </w:t>
      </w:r>
      <w:r>
        <w:t xml:space="preserve">former, there are two interpretations, the</w:t>
      </w:r>
      <w:r>
        <w:t xml:space="preserve"> </w:t>
      </w:r>
      <w:r>
        <w:rPr>
          <w:i/>
          <w:iCs/>
        </w:rPr>
        <w:t xml:space="preserve">conjunctive model</w:t>
      </w:r>
      <w:r>
        <w:t xml:space="preserve"> </w:t>
      </w:r>
      <w:r>
        <w:t xml:space="preserve">and the</w:t>
      </w:r>
      <w:r>
        <w:t xml:space="preserve"> </w:t>
      </w:r>
      <w:r>
        <w:rPr>
          <w:i/>
          <w:iCs/>
        </w:rPr>
        <w:t xml:space="preserve">disjunctive model.</w:t>
      </w:r>
      <w:r>
        <w:t xml:space="preserve"> </w:t>
      </w:r>
      <w:r>
        <w:t xml:space="preserve">Currently, the</w:t>
      </w:r>
      <w:r>
        <w:t xml:space="preserve"> </w:t>
      </w:r>
      <w:r>
        <w:rPr>
          <w:rStyle w:val="VerbatimChar"/>
        </w:rPr>
        <w:t xml:space="preserve">CbKST</w:t>
      </w:r>
      <w:r>
        <w:t xml:space="preserve"> </w:t>
      </w:r>
      <w:r>
        <w:t xml:space="preserve">package supports only</w:t>
      </w:r>
      <w:r>
        <w:t xml:space="preserve"> </w:t>
      </w:r>
      <w:r>
        <w:t xml:space="preserve">the conjunctive model. For this case, skill maps can be seen (and are treated</w:t>
      </w:r>
      <w:r>
        <w:t xml:space="preserve"> </w:t>
      </w:r>
      <w:r>
        <w:t xml:space="preserve">by the software) as a special case of skill multi maps, i.e. as skill multi</w:t>
      </w:r>
      <w:r>
        <w:t xml:space="preserve"> </w:t>
      </w:r>
      <w:r>
        <w:t xml:space="preserve">maps with exactly one competence per skill.</w:t>
      </w:r>
    </w:p>
    <w:p>
      <w:pPr>
        <w:pStyle w:val="BodyText"/>
      </w:pPr>
      <w:r>
        <w:t xml:space="preserve">The starting point for working in CbKST is to read a skill (multi) map from</w:t>
      </w:r>
      <w:r>
        <w:t xml:space="preserve"> </w:t>
      </w:r>
      <w:r>
        <w:t xml:space="preserve">file. This is done with</w:t>
      </w:r>
      <w:r>
        <w:t xml:space="preserve"> </w:t>
      </w:r>
      <w:r>
        <w:rPr>
          <w:rStyle w:val="VerbatimChar"/>
        </w:rPr>
        <w:t xml:space="preserve">read_skillmultimap()</w:t>
      </w:r>
      <w:r>
        <w:t xml:space="preserve">. ODS (OpenOffice/LibreOffice)</w:t>
      </w:r>
      <w:r>
        <w:t xml:space="preserve"> </w:t>
      </w:r>
      <w:r>
        <w:t xml:space="preserve">and XLSX (Microsoft Excel) spreadsheet files are accepted.</w:t>
      </w:r>
    </w:p>
    <w:p>
      <w:pPr>
        <w:pStyle w:val="BodyText"/>
      </w:pPr>
      <w:r>
        <w:t xml:space="preserve">With</w:t>
      </w:r>
      <w:r>
        <w:t xml:space="preserve"> </w:t>
      </w:r>
      <w:r>
        <w:rPr>
          <w:rStyle w:val="VerbatimChar"/>
        </w:rPr>
        <w:t xml:space="preserve">cbkst_perf2comp()</w:t>
      </w:r>
      <w:r>
        <w:t xml:space="preserve">, the competence state underlying an observed</w:t>
      </w:r>
      <w:r>
        <w:t xml:space="preserve"> </w:t>
      </w:r>
      <w:r>
        <w:t xml:space="preserve">performance state is determined.</w:t>
      </w:r>
      <w:r>
        <w:t xml:space="preserve"> </w:t>
      </w:r>
      <w:r>
        <w:rPr>
          <w:rStyle w:val="VerbatimChar"/>
        </w:rPr>
        <w:t xml:space="preserve">cbkst_competencestructure()</w:t>
      </w:r>
      <w:r>
        <w:t xml:space="preserve"> </w:t>
      </w:r>
      <w:r>
        <w:t xml:space="preserve">delivers</w:t>
      </w:r>
      <w:r>
        <w:t xml:space="preserve"> </w:t>
      </w:r>
      <w:r>
        <w:t xml:space="preserve">the set of all competence states underlying some performance state.</w:t>
      </w:r>
      <w:r>
        <w:t xml:space="preserve"> </w:t>
      </w:r>
      <w:r>
        <w:t xml:space="preserve">Specifically for skill maps, there is also a function</w:t>
      </w:r>
      <w:r>
        <w:t xml:space="preserve"> </w:t>
      </w:r>
      <w:r>
        <w:rPr>
          <w:rStyle w:val="VerbatimChar"/>
        </w:rPr>
        <w:t xml:space="preserve">cbkst_simple_perf2comp()</w:t>
      </w:r>
      <w:r>
        <w:t xml:space="preserve">.</w:t>
      </w:r>
    </w:p>
    <w:p>
      <w:pPr>
        <w:pStyle w:val="BodyText"/>
      </w:pPr>
      <w:r>
        <w:t xml:space="preserve">In the other direction, there are corresponding functions</w:t>
      </w:r>
      <w:r>
        <w:t xml:space="preserve"> </w:t>
      </w:r>
      <w:r>
        <w:rPr>
          <w:rStyle w:val="VerbatimChar"/>
        </w:rPr>
        <w:t xml:space="preserve">cbkst_comp2perf()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cbkst_performancestructure()</w:t>
      </w:r>
      <w:r>
        <w:t xml:space="preserve">.</w:t>
      </w:r>
    </w:p>
    <w:p>
      <w:pPr>
        <w:pStyle w:val="BodyText"/>
      </w:pPr>
      <w:r>
        <w:t xml:space="preserve">Finally,</w:t>
      </w:r>
      <w:r>
        <w:t xml:space="preserve"> </w:t>
      </w:r>
      <w:r>
        <w:rPr>
          <w:rStyle w:val="VerbatimChar"/>
        </w:rPr>
        <w:t xml:space="preserve">cbkst_problemfunction()</w:t>
      </w:r>
      <w:r>
        <w:t xml:space="preserve"> </w:t>
      </w:r>
      <w:r>
        <w:t xml:space="preserve">obtains the</w:t>
      </w:r>
      <w:r>
        <w:t xml:space="preserve"> </w:t>
      </w:r>
      <w:r>
        <w:rPr>
          <w:i/>
          <w:iCs/>
        </w:rPr>
        <w:t xml:space="preserve">problem function</w:t>
      </w:r>
      <w:r>
        <w:t xml:space="preserve"> </w:t>
      </w:r>
      <w:r>
        <w:t xml:space="preserve">corresponding</w:t>
      </w:r>
      <w:r>
        <w:t xml:space="preserve"> </w:t>
      </w:r>
      <w:r>
        <w:t xml:space="preserve">to a skill (mult) map.</w:t>
      </w:r>
    </w:p>
    <w:bookmarkEnd w:id="64"/>
    <w:bookmarkStart w:id="67" w:name="pkspkg"/>
    <w:p>
      <w:pPr>
        <w:pStyle w:val="Heading2"/>
      </w:pPr>
      <w:r>
        <w:rPr>
          <w:rStyle w:val="SectionNumber"/>
        </w:rPr>
        <w:t xml:space="preserve">4.2</w:t>
      </w:r>
      <w:r>
        <w:tab/>
      </w:r>
      <w:r>
        <w:rPr>
          <w:rStyle w:val="VerbatimChar"/>
        </w:rPr>
        <w:t xml:space="preserve">pks</w:t>
      </w:r>
    </w:p>
    <w:p>
      <w:pPr>
        <w:pStyle w:val="FirstParagraph"/>
      </w:pPr>
      <w:r>
        <w:rPr>
          <w:rStyle w:val="VerbatimChar"/>
        </w:rPr>
        <w:t xml:space="preserve">pks</w:t>
      </w:r>
      <w:r>
        <w:t xml:space="preserve"> </w:t>
      </w:r>
      <w:r>
        <w:t xml:space="preserve">(</w:t>
      </w:r>
      <w:hyperlink w:anchor="ref-wickelmaier:pks">
        <w:r>
          <w:rPr>
            <w:rStyle w:val="Hyperlink"/>
          </w:rPr>
          <w:t xml:space="preserve">Wickelmaier et al. 2024</w:t>
        </w:r>
      </w:hyperlink>
      <w:r>
        <w:t xml:space="preserve">;</w:t>
      </w:r>
      <w:r>
        <w:t xml:space="preserve"> </w:t>
      </w:r>
      <w:hyperlink w:anchor="ref-heller:13">
        <w:r>
          <w:rPr>
            <w:rStyle w:val="Hyperlink"/>
          </w:rPr>
          <w:t xml:space="preserve">Heller and Wickelmaier 2013</w:t>
        </w:r>
      </w:hyperlink>
      <w:r>
        <w:t xml:space="preserve">;</w:t>
      </w:r>
      <w:r>
        <w:t xml:space="preserve"> </w:t>
      </w:r>
      <w:hyperlink w:anchor="ref-brancaccio:heller">
        <w:r>
          <w:rPr>
            <w:rStyle w:val="Hyperlink"/>
          </w:rPr>
          <w:t xml:space="preserve">Brancaccio et al. 2024</w:t>
        </w:r>
      </w:hyperlink>
      <w:r>
        <w:t xml:space="preserve">)</w:t>
      </w:r>
      <w:r>
        <w:t xml:space="preserve"> </w:t>
      </w:r>
      <w:r>
        <w:t xml:space="preserve">offers</w:t>
      </w:r>
      <w:r>
        <w:t xml:space="preserve"> </w:t>
      </w:r>
      <w:r>
        <w:t xml:space="preserve">functions for fitting and testing knowledge structures including parameters</w:t>
      </w:r>
      <w:r>
        <w:t xml:space="preserve"> </w:t>
      </w:r>
      <w:r>
        <w:t xml:space="preserve">for the BLIM and the</w:t>
      </w:r>
      <w:r>
        <w:t xml:space="preserve"> </w:t>
      </w:r>
      <w:r>
        <w:rPr>
          <w:i/>
          <w:iCs/>
        </w:rPr>
        <w:t xml:space="preserve">stochastic learnig model</w:t>
      </w:r>
      <w:r>
        <w:t xml:space="preserve"> </w:t>
      </w:r>
      <w:r>
        <w:t xml:space="preserve">(SLM).</w:t>
      </w:r>
    </w:p>
    <w:p>
      <w:pPr>
        <w:pStyle w:val="BodyText"/>
      </w:pPr>
      <w:r>
        <w:t xml:space="preserve">As a preparation, we provide a set of simulated response patterns for our</w:t>
      </w:r>
      <w:r>
        <w:t xml:space="preserve"> </w:t>
      </w:r>
      <w:r>
        <w:t xml:space="preserve">example structure in the NR format used by the</w:t>
      </w:r>
      <w:r>
        <w:t xml:space="preserve"> </w:t>
      </w:r>
      <w:r>
        <w:rPr>
          <w:rStyle w:val="VerbatimChar"/>
        </w:rPr>
        <w:t xml:space="preserve">pks</w:t>
      </w:r>
      <w:r>
        <w:t xml:space="preserve"> </w:t>
      </w:r>
      <w:r>
        <w:t xml:space="preserve">functions.</w:t>
      </w:r>
    </w:p>
    <w:p>
      <w:pPr>
        <w:pStyle w:val="SourceCode"/>
      </w:pPr>
      <w:r>
        <w:rPr>
          <w:rStyle w:val="NormalTok"/>
        </w:rPr>
        <w:t xml:space="preserve">simdata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kmsimulate</w:t>
      </w:r>
      <w:r>
        <w:rPr>
          <w:rStyle w:val="NormalTok"/>
        </w:rPr>
        <w:t xml:space="preserve">(ksp, 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beta=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eta=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nr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as.pattern</w:t>
      </w:r>
      <w:r>
        <w:rPr>
          <w:rStyle w:val="NormalTok"/>
        </w:rPr>
        <w:t xml:space="preserve">(simdata, </w:t>
      </w:r>
      <w:r>
        <w:rPr>
          <w:rStyle w:val="AttributeTok"/>
        </w:rPr>
        <w:t xml:space="preserve">freq=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head</w:t>
      </w:r>
      <w:r>
        <w:rPr>
          <w:rStyle w:val="NormalTok"/>
        </w:rPr>
        <w:t xml:space="preserve">(nr)</w:t>
      </w:r>
      <w:r>
        <w:br/>
      </w:r>
      <w:r>
        <w:rPr>
          <w:rStyle w:val="CommentTok"/>
        </w:rPr>
        <w:t xml:space="preserve">#&gt; 0000000 0000001 0000010 0000100 0010000 0010010 </w:t>
      </w:r>
      <w:r>
        <w:br/>
      </w:r>
      <w:r>
        <w:rPr>
          <w:rStyle w:val="CommentTok"/>
        </w:rPr>
        <w:t xml:space="preserve">#&gt;       8       2       3       2      12       6</w:t>
      </w:r>
    </w:p>
    <w:p>
      <w:pPr>
        <w:pStyle w:val="FirstParagraph"/>
      </w:pPr>
      <w:r>
        <w:t xml:space="preserve">Applying the functions</w:t>
      </w:r>
      <w:r>
        <w:t xml:space="preserve"> </w:t>
      </w:r>
      <w:r>
        <w:rPr>
          <w:rStyle w:val="VerbatimChar"/>
        </w:rPr>
        <w:t xml:space="preserve">blim()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slm()</w:t>
      </w:r>
      <w:r>
        <w:t xml:space="preserve">, we can then estimate the respective models</w:t>
      </w:r>
    </w:p>
    <w:p>
      <w:pPr>
        <w:pStyle w:val="SourceCode"/>
      </w:pPr>
      <w:r>
        <w:rPr>
          <w:rStyle w:val="NormalTok"/>
        </w:rPr>
        <w:t xml:space="preserve">bm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blim</w:t>
      </w:r>
      <w:r>
        <w:rPr>
          <w:rStyle w:val="NormalTok"/>
        </w:rPr>
        <w:t xml:space="preserve">(ksp, nr)</w:t>
      </w:r>
      <w:r>
        <w:br/>
      </w:r>
      <w:r>
        <w:rPr>
          <w:rStyle w:val="NormalTok"/>
        </w:rPr>
        <w:t xml:space="preserve">bm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Basic local independence models (BLIMs)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Number of knowledge states: 23</w:t>
      </w:r>
      <w:r>
        <w:br/>
      </w:r>
      <w:r>
        <w:rPr>
          <w:rStyle w:val="CommentTok"/>
        </w:rPr>
        <w:t xml:space="preserve">#&gt; Number of response patterns: 55</w:t>
      </w:r>
      <w:r>
        <w:br/>
      </w:r>
      <w:r>
        <w:rPr>
          <w:rStyle w:val="CommentTok"/>
        </w:rPr>
        <w:t xml:space="preserve">#&gt; Number of respondents: 200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Method: Minimum discrepancy</w:t>
      </w:r>
      <w:r>
        <w:br/>
      </w:r>
      <w:r>
        <w:rPr>
          <w:rStyle w:val="CommentTok"/>
        </w:rPr>
        <w:t xml:space="preserve">#&gt; Number of iterations: 1</w:t>
      </w:r>
      <w:r>
        <w:br/>
      </w:r>
      <w:r>
        <w:rPr>
          <w:rStyle w:val="CommentTok"/>
        </w:rPr>
        <w:t xml:space="preserve">#&gt; Goodness of fit (2 log likelihood ratio):</w:t>
      </w:r>
      <w:r>
        <w:br/>
      </w:r>
      <w:r>
        <w:rPr>
          <w:rStyle w:val="CommentTok"/>
        </w:rPr>
        <w:t xml:space="preserve">#&gt;  G2(91) = 97.087, p = 0.31183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Minimum discrepancy distribution (mean = 0.285)</w:t>
      </w:r>
      <w:r>
        <w:br/>
      </w:r>
      <w:r>
        <w:rPr>
          <w:rStyle w:val="CommentTok"/>
        </w:rPr>
        <w:t xml:space="preserve">#&gt;   0   1   2 </w:t>
      </w:r>
      <w:r>
        <w:br/>
      </w:r>
      <w:r>
        <w:rPr>
          <w:rStyle w:val="CommentTok"/>
        </w:rPr>
        <w:t xml:space="preserve">#&gt; 144  55   1 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Mean number of errors (total = 0.285)</w:t>
      </w:r>
      <w:r>
        <w:br/>
      </w:r>
      <w:r>
        <w:rPr>
          <w:rStyle w:val="CommentTok"/>
        </w:rPr>
        <w:t xml:space="preserve">#&gt; careless error    lucky guess </w:t>
      </w:r>
      <w:r>
        <w:br/>
      </w:r>
      <w:r>
        <w:rPr>
          <w:rStyle w:val="CommentTok"/>
        </w:rPr>
        <w:t xml:space="preserve">#&gt;      0.1150002      0.1700010 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Error and guessing parameters</w:t>
      </w:r>
      <w:r>
        <w:br/>
      </w:r>
      <w:r>
        <w:rPr>
          <w:rStyle w:val="CommentTok"/>
        </w:rPr>
        <w:t xml:space="preserve">#&gt;        beta      eta</w:t>
      </w:r>
      <w:r>
        <w:br/>
      </w:r>
      <w:r>
        <w:rPr>
          <w:rStyle w:val="CommentTok"/>
        </w:rPr>
        <w:t xml:space="preserve">#&gt; I1 0.046809 0.000001</w:t>
      </w:r>
      <w:r>
        <w:br/>
      </w:r>
      <w:r>
        <w:rPr>
          <w:rStyle w:val="CommentTok"/>
        </w:rPr>
        <w:t xml:space="preserve">#&gt; I2 0.043478 0.000001</w:t>
      </w:r>
      <w:r>
        <w:br/>
      </w:r>
      <w:r>
        <w:rPr>
          <w:rStyle w:val="CommentTok"/>
        </w:rPr>
        <w:t xml:space="preserve">#&gt; I3 0.069597 0.000001</w:t>
      </w:r>
      <w:r>
        <w:br/>
      </w:r>
      <w:r>
        <w:rPr>
          <w:rStyle w:val="CommentTok"/>
        </w:rPr>
        <w:t xml:space="preserve">#&gt; I4 0.000001 0.085366</w:t>
      </w:r>
      <w:r>
        <w:br/>
      </w:r>
      <w:r>
        <w:rPr>
          <w:rStyle w:val="CommentTok"/>
        </w:rPr>
        <w:t xml:space="preserve">#&gt; I5 0.021277 0.030888</w:t>
      </w:r>
      <w:r>
        <w:br/>
      </w:r>
      <w:r>
        <w:rPr>
          <w:rStyle w:val="CommentTok"/>
        </w:rPr>
        <w:t xml:space="preserve">#&gt; I6 0.007752 0.029520</w:t>
      </w:r>
      <w:r>
        <w:br/>
      </w:r>
      <w:r>
        <w:rPr>
          <w:rStyle w:val="CommentTok"/>
        </w:rPr>
        <w:t xml:space="preserve">#&gt; I7 0.000001 0.062827</w:t>
      </w:r>
      <w:r>
        <w:br/>
      </w:r>
      <w:r>
        <w:rPr>
          <w:rStyle w:val="NormalTok"/>
        </w:rPr>
        <w:t xml:space="preserve">kb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kmbasis</w:t>
      </w:r>
      <w:r>
        <w:rPr>
          <w:rStyle w:val="NormalTok"/>
        </w:rPr>
        <w:t xml:space="preserve">(bm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K)</w:t>
      </w:r>
      <w:r>
        <w:br/>
      </w:r>
      <w:r>
        <w:rPr>
          <w:rStyle w:val="FunctionTok"/>
        </w:rPr>
        <w:t xml:space="preserve">kmprettyprint</w:t>
      </w:r>
      <w:r>
        <w:rPr>
          <w:rStyle w:val="NormalTok"/>
        </w:rPr>
        <w:t xml:space="preserve">(kb)</w:t>
      </w:r>
      <w:r>
        <w:br/>
      </w:r>
      <w:r>
        <w:rPr>
          <w:rStyle w:val="CommentTok"/>
        </w:rPr>
        <w:t xml:space="preserve">#&gt; [1] "{{I1}, {I2}, {I3}, {I2, I5}, {I3, I6}, {I1, I2, I3, I4}, {I1, I2, I3, I4, I5, I6, I7}}"</w:t>
      </w:r>
      <w:r>
        <w:br/>
      </w:r>
      <w:r>
        <w:rPr>
          <w:rStyle w:val="FunctionTok"/>
        </w:rPr>
        <w:t xml:space="preserve">kmprettyprint</w:t>
      </w:r>
      <w:r>
        <w:rPr>
          <w:rStyle w:val="NormalTok"/>
        </w:rPr>
        <w:t xml:space="preserve">(phsg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basis)</w:t>
      </w:r>
      <w:r>
        <w:br/>
      </w:r>
      <w:r>
        <w:rPr>
          <w:rStyle w:val="CommentTok"/>
        </w:rPr>
        <w:t xml:space="preserve">#&gt; [1] "{{I1}, {I2}, {I3}, {I2, I5}, {I3, I6}, {I1, I2, I3, I4}, {I1, I2, I3, I4, I5, I6, I7}}"</w:t>
      </w:r>
    </w:p>
    <w:p>
      <w:pPr>
        <w:pStyle w:val="FirstParagraph"/>
      </w:pPr>
      <w:r>
        <w:t xml:space="preserve">We have exemplarily printed the basis of the resulting knowledge</w:t>
      </w:r>
      <w:r>
        <w:t xml:space="preserve"> </w:t>
      </w:r>
      <w:r>
        <w:t xml:space="preserve">structure together with the original basis as comparison, and it shows</w:t>
      </w:r>
      <w:r>
        <w:t xml:space="preserve"> </w:t>
      </w:r>
      <w:r>
        <w:t xml:space="preserve">identical bases. The</w:t>
      </w:r>
      <w:r>
        <w:t xml:space="preserve"> </w:t>
      </w:r>
      <m:oMath>
        <m:r>
          <m:t>β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η</m:t>
        </m:r>
      </m:oMath>
      <w:r>
        <w:t xml:space="preserve"> </w:t>
      </w:r>
      <w:r>
        <w:t xml:space="preserve">parameters, however, are partially</w:t>
      </w:r>
      <w:r>
        <w:t xml:space="preserve"> </w:t>
      </w:r>
      <w:r>
        <w:t xml:space="preserve">estimated considerably lower than what we specified in the simulation (0.1</w:t>
      </w:r>
      <w:r>
        <w:t xml:space="preserve"> </w:t>
      </w:r>
      <w:r>
        <w:t xml:space="preserve">each). This is due to the fact that, in the simulation, by adding noise to</w:t>
      </w:r>
      <w:r>
        <w:t xml:space="preserve"> </w:t>
      </w:r>
      <w:r>
        <w:t xml:space="preserve">some knowledge state, we may well land in some other state.</w:t>
      </w:r>
    </w:p>
    <w:p>
      <w:pPr>
        <w:pStyle w:val="SourceCode"/>
      </w:pPr>
      <w:r>
        <w:rPr>
          <w:rStyle w:val="NormalTok"/>
        </w:rPr>
        <w:t xml:space="preserve">sm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slm</w:t>
      </w:r>
      <w:r>
        <w:rPr>
          <w:rStyle w:val="NormalTok"/>
        </w:rPr>
        <w:t xml:space="preserve">(ksp, nr)</w:t>
      </w:r>
      <w:r>
        <w:br/>
      </w:r>
      <w:r>
        <w:rPr>
          <w:rStyle w:val="NormalTok"/>
        </w:rPr>
        <w:t xml:space="preserve">sm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Simple learning models (SLMs)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Number of knowledge states: 23</w:t>
      </w:r>
      <w:r>
        <w:br/>
      </w:r>
      <w:r>
        <w:rPr>
          <w:rStyle w:val="CommentTok"/>
        </w:rPr>
        <w:t xml:space="preserve">#&gt; Number of response patterns: 55</w:t>
      </w:r>
      <w:r>
        <w:br/>
      </w:r>
      <w:r>
        <w:rPr>
          <w:rStyle w:val="CommentTok"/>
        </w:rPr>
        <w:t xml:space="preserve">#&gt; Number of respondents: 200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Method: Minimum discrepancy</w:t>
      </w:r>
      <w:r>
        <w:br/>
      </w:r>
      <w:r>
        <w:rPr>
          <w:rStyle w:val="CommentTok"/>
        </w:rPr>
        <w:t xml:space="preserve">#&gt; Number of iterations: 1</w:t>
      </w:r>
      <w:r>
        <w:br/>
      </w:r>
      <w:r>
        <w:rPr>
          <w:rStyle w:val="CommentTok"/>
        </w:rPr>
        <w:t xml:space="preserve">#&gt; Goodness of fit (2 log likelihood ratio):</w:t>
      </w:r>
      <w:r>
        <w:br/>
      </w:r>
      <w:r>
        <w:rPr>
          <w:rStyle w:val="CommentTok"/>
        </w:rPr>
        <w:t xml:space="preserve">#&gt;  G2(106) = 128.1, p = 0.070999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Minimum discrepancy distribution (mean = 0.285)</w:t>
      </w:r>
      <w:r>
        <w:br/>
      </w:r>
      <w:r>
        <w:rPr>
          <w:rStyle w:val="CommentTok"/>
        </w:rPr>
        <w:t xml:space="preserve">#&gt;   0   1   2 </w:t>
      </w:r>
      <w:r>
        <w:br/>
      </w:r>
      <w:r>
        <w:rPr>
          <w:rStyle w:val="CommentTok"/>
        </w:rPr>
        <w:t xml:space="preserve">#&gt; 144  55   1 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Mean number of errors (total = 0.29052)</w:t>
      </w:r>
      <w:r>
        <w:br/>
      </w:r>
      <w:r>
        <w:rPr>
          <w:rStyle w:val="CommentTok"/>
        </w:rPr>
        <w:t xml:space="preserve">#&gt; careless error    lucky guess </w:t>
      </w:r>
      <w:r>
        <w:br/>
      </w:r>
      <w:r>
        <w:rPr>
          <w:rStyle w:val="CommentTok"/>
        </w:rPr>
        <w:t xml:space="preserve">#&gt;      0.1150002      0.1755190 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Error, guessing, and solvability parameters</w:t>
      </w:r>
      <w:r>
        <w:br/>
      </w:r>
      <w:r>
        <w:rPr>
          <w:rStyle w:val="CommentTok"/>
        </w:rPr>
        <w:t xml:space="preserve">#&gt;        beta      eta       g</w:t>
      </w:r>
      <w:r>
        <w:br/>
      </w:r>
      <w:r>
        <w:rPr>
          <w:rStyle w:val="CommentTok"/>
        </w:rPr>
        <w:t xml:space="preserve">#&gt; I1 0.046809 0.000001 0.58750</w:t>
      </w:r>
      <w:r>
        <w:br/>
      </w:r>
      <w:r>
        <w:rPr>
          <w:rStyle w:val="CommentTok"/>
        </w:rPr>
        <w:t xml:space="preserve">#&gt; I2 0.043478 0.000001 0.69000</w:t>
      </w:r>
      <w:r>
        <w:br/>
      </w:r>
      <w:r>
        <w:rPr>
          <w:rStyle w:val="CommentTok"/>
        </w:rPr>
        <w:t xml:space="preserve">#&gt; I3 0.069597 0.000001 0.68250</w:t>
      </w:r>
      <w:r>
        <w:br/>
      </w:r>
      <w:r>
        <w:rPr>
          <w:rStyle w:val="CommentTok"/>
        </w:rPr>
        <w:t xml:space="preserve">#&gt; I4 0.000001 0.085366 0.48649</w:t>
      </w:r>
      <w:r>
        <w:br/>
      </w:r>
      <w:r>
        <w:rPr>
          <w:rStyle w:val="CommentTok"/>
        </w:rPr>
        <w:t xml:space="preserve">#&gt; I5 0.021277 0.030888 0.51087</w:t>
      </w:r>
      <w:r>
        <w:br/>
      </w:r>
      <w:r>
        <w:rPr>
          <w:rStyle w:val="CommentTok"/>
        </w:rPr>
        <w:t xml:space="preserve">#&gt; I6 0.007752 0.029520 0.47253</w:t>
      </w:r>
      <w:r>
        <w:br/>
      </w:r>
      <w:r>
        <w:rPr>
          <w:rStyle w:val="CommentTok"/>
        </w:rPr>
        <w:t xml:space="preserve">#&gt; I7 0.000001 0.062827 0.58065</w:t>
      </w:r>
      <w:r>
        <w:br/>
      </w:r>
      <w:r>
        <w:rPr>
          <w:rStyle w:val="FunctionTok"/>
        </w:rPr>
        <w:t xml:space="preserve">kmprettyprint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kmbasis</w:t>
      </w:r>
      <w:r>
        <w:rPr>
          <w:rStyle w:val="NormalTok"/>
        </w:rPr>
        <w:t xml:space="preserve">(sm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K))</w:t>
      </w:r>
      <w:r>
        <w:br/>
      </w:r>
      <w:r>
        <w:rPr>
          <w:rStyle w:val="CommentTok"/>
        </w:rPr>
        <w:t xml:space="preserve">#&gt; [1] "{{I1}, {I2}, {I3}, {I2, I5}, {I3, I6}, {I1, I2, I3, I4}, {I1, I2, I3, I4, I5, I6, I7}}"</w:t>
      </w:r>
    </w:p>
    <w:p>
      <w:pPr>
        <w:pStyle w:val="FirstParagraph"/>
      </w:pPr>
      <w:r>
        <w:t xml:space="preserve">Here the comments on the BLIM results hold similarly.</w:t>
      </w:r>
    </w:p>
    <w:bookmarkStart w:id="65" w:name="pksdata"/>
    <w:p>
      <w:pPr>
        <w:pStyle w:val="Heading3"/>
      </w:pPr>
      <w:r>
        <w:rPr>
          <w:rStyle w:val="SectionNumber"/>
        </w:rPr>
        <w:t xml:space="preserve">4.2.1</w:t>
      </w:r>
      <w:r>
        <w:tab/>
      </w:r>
      <w:r>
        <w:t xml:space="preserve">Data provided by</w:t>
      </w:r>
      <w:r>
        <w:t xml:space="preserve"> </w:t>
      </w:r>
      <w:r>
        <w:rPr>
          <w:rStyle w:val="VerbatimChar"/>
        </w:rPr>
        <w:t xml:space="preserve">pks</w:t>
      </w:r>
    </w:p>
    <w:p>
      <w:pPr>
        <w:pStyle w:val="FirstParagraph"/>
      </w:pPr>
      <w:r>
        <w:rPr>
          <w:rStyle w:val="VerbatimChar"/>
        </w:rPr>
        <w:t xml:space="preserve">pks</w:t>
      </w:r>
      <w:r>
        <w:t xml:space="preserve"> </w:t>
      </w:r>
      <w:r>
        <w:t xml:space="preserve">provides several data sets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  <w:b/>
          <w:bCs/>
        </w:rPr>
        <w:t xml:space="preserve">chess</w:t>
      </w:r>
      <w:r>
        <w:rPr>
          <w:b/>
          <w:bCs/>
        </w:rPr>
        <w:t xml:space="preserve">:</w:t>
      </w:r>
      <w:r>
        <w:t xml:space="preserve"> </w:t>
      </w:r>
      <w:r>
        <w:t xml:space="preserve">Data on solving chess problems by</w:t>
      </w:r>
      <w:r>
        <w:t xml:space="preserve"> </w:t>
      </w:r>
      <w:r>
        <w:t xml:space="preserve">Schrepp et al. (</w:t>
      </w:r>
      <w:hyperlink w:anchor="ref-schreppb:alb99">
        <w:r>
          <w:rPr>
            <w:rStyle w:val="Hyperlink"/>
          </w:rPr>
          <w:t xml:space="preserve">1999</w:t>
        </w:r>
      </w:hyperlink>
      <w:r>
        <w:t xml:space="preserve">)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  <w:b/>
          <w:bCs/>
        </w:rPr>
        <w:t xml:space="preserve">DoignonFalmagne7</w:t>
      </w:r>
      <w:r>
        <w:rPr>
          <w:b/>
          <w:bCs/>
        </w:rPr>
        <w:t xml:space="preserve">:</w:t>
      </w:r>
      <w:r>
        <w:t xml:space="preserve"> </w:t>
      </w:r>
      <w:r>
        <w:t xml:space="preserve">A ficticious data set by</w:t>
      </w:r>
      <w:r>
        <w:t xml:space="preserve"> </w:t>
      </w:r>
      <w:r>
        <w:t xml:space="preserve">Doignon and Falmagne (</w:t>
      </w:r>
      <w:hyperlink w:anchor="ref-doignon:b99">
        <w:r>
          <w:rPr>
            <w:rStyle w:val="Hyperlink"/>
          </w:rPr>
          <w:t xml:space="preserve">1999</w:t>
        </w:r>
      </w:hyperlink>
      <w:r>
        <w:t xml:space="preserve">)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  <w:b/>
          <w:bCs/>
        </w:rPr>
        <w:t xml:space="preserve">endm</w:t>
      </w:r>
      <w:r>
        <w:rPr>
          <w:b/>
          <w:bCs/>
        </w:rPr>
        <w:t xml:space="preserve">:</w:t>
      </w:r>
      <w:r>
        <w:t xml:space="preserve"> </w:t>
      </w:r>
      <w:r>
        <w:t xml:space="preserve">Data from</w:t>
      </w:r>
      <w:r>
        <w:t xml:space="preserve"> </w:t>
      </w:r>
      <w:r>
        <w:t xml:space="preserve">Heller and Wickelmaier (</w:t>
      </w:r>
      <w:hyperlink w:anchor="ref-heller:13">
        <w:r>
          <w:rPr>
            <w:rStyle w:val="Hyperlink"/>
          </w:rPr>
          <w:t xml:space="preserve">2013</w:t>
        </w:r>
      </w:hyperlink>
      <w:r>
        <w:t xml:space="preserve">)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  <w:b/>
          <w:bCs/>
        </w:rPr>
        <w:t xml:space="preserve">schoolarithm</w:t>
      </w:r>
      <w:r>
        <w:rPr>
          <w:b/>
          <w:bCs/>
        </w:rPr>
        <w:t xml:space="preserve">:</w:t>
      </w:r>
      <w:r>
        <w:t xml:space="preserve"> </w:t>
      </w:r>
      <w:r>
        <w:t xml:space="preserve">Data on arithmetic problems for elementary and middle</w:t>
      </w:r>
      <w:r>
        <w:t xml:space="preserve"> </w:t>
      </w:r>
      <w:r>
        <w:t xml:space="preserve">school</w:t>
      </w:r>
      <w:r>
        <w:t xml:space="preserve"> </w:t>
      </w:r>
      <w:r>
        <w:t xml:space="preserve">(</w:t>
      </w:r>
      <w:hyperlink w:anchor="ref-dechiusole:13b">
        <w:r>
          <w:rPr>
            <w:rStyle w:val="Hyperlink"/>
          </w:rPr>
          <w:t xml:space="preserve">Chiusole and Stefanutti 2013</w:t>
        </w:r>
      </w:hyperlink>
      <w:r>
        <w:t xml:space="preserve">;</w:t>
      </w:r>
      <w:r>
        <w:t xml:space="preserve"> </w:t>
      </w:r>
      <w:hyperlink w:anchor="ref-stefanutti:17">
        <w:r>
          <w:rPr>
            <w:rStyle w:val="Hyperlink"/>
          </w:rPr>
          <w:t xml:space="preserve">Stefanutti and Chiusole 2017</w:t>
        </w:r>
      </w:hyperlink>
      <w:r>
        <w:t xml:space="preserve">)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  <w:b/>
          <w:bCs/>
        </w:rPr>
        <w:t xml:space="preserve">Taagepera</w:t>
      </w:r>
      <w:r>
        <w:rPr>
          <w:b/>
          <w:bCs/>
        </w:rPr>
        <w:t xml:space="preserve">:</w:t>
      </w:r>
      <w:r>
        <w:t xml:space="preserve"> </w:t>
      </w:r>
      <w:r>
        <w:t xml:space="preserve">Data and knowledge structures on specific scice problems</w:t>
      </w:r>
      <w:r>
        <w:t xml:space="preserve"> </w:t>
      </w:r>
      <w:r>
        <w:t xml:space="preserve">(</w:t>
      </w:r>
      <w:hyperlink w:anchor="ref-taagepera:97">
        <w:r>
          <w:rPr>
            <w:rStyle w:val="Hyperlink"/>
          </w:rPr>
          <w:t xml:space="preserve">Taagepera et al. 1997</w:t>
        </w:r>
      </w:hyperlink>
      <w:r>
        <w:t xml:space="preserve">)</w:t>
      </w:r>
    </w:p>
    <w:bookmarkEnd w:id="65"/>
    <w:bookmarkStart w:id="66" w:name="pkscpp"/>
    <w:p>
      <w:pPr>
        <w:pStyle w:val="Heading3"/>
      </w:pPr>
      <w:r>
        <w:rPr>
          <w:rStyle w:val="SectionNumber"/>
        </w:rPr>
        <w:t xml:space="preserve">4.2.2</w:t>
      </w:r>
      <w:r>
        <w:tab/>
      </w:r>
      <w:r>
        <w:rPr>
          <w:rStyle w:val="VerbatimChar"/>
        </w:rPr>
        <w:t xml:space="preserve">pksCpp</w:t>
      </w:r>
      <w:r>
        <w:t xml:space="preserve"> </w:t>
      </w:r>
      <w:r>
        <w:t xml:space="preserve">- Probabilistic knowledge structures: additional models and functions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pksCpp</w:t>
      </w:r>
      <w:r>
        <w:t xml:space="preserve"> </w:t>
      </w:r>
      <w:r>
        <w:t xml:space="preserve">package is the only package presented in this paper that is not</w:t>
      </w:r>
      <w:r>
        <w:t xml:space="preserve"> </w:t>
      </w:r>
      <w:r>
        <w:t xml:space="preserve">available through CRAN. It has to be installed from Github, e.g. by</w:t>
      </w:r>
    </w:p>
    <w:p>
      <w:pPr>
        <w:pStyle w:val="SourceCode"/>
      </w:pPr>
      <w:r>
        <w:rPr>
          <w:rStyle w:val="NormalTok"/>
        </w:rPr>
        <w:t xml:space="preserve">devtools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install_github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"jujupsy/pksCpp"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Primarily,</w:t>
      </w:r>
      <w:r>
        <w:t xml:space="preserve"> </w:t>
      </w:r>
      <w:r>
        <w:rPr>
          <w:rStyle w:val="VerbatimChar"/>
        </w:rPr>
        <w:t xml:space="preserve">pksCpp</w:t>
      </w:r>
      <w:r>
        <w:t xml:space="preserve"> </w:t>
      </w:r>
      <w:r>
        <w:t xml:space="preserve">(</w:t>
      </w:r>
      <w:hyperlink w:anchor="ref-mollenhauer:pkscpp">
        <w:r>
          <w:rPr>
            <w:rStyle w:val="Hyperlink"/>
          </w:rPr>
          <w:t xml:space="preserve">Mollenhauer 2025</w:t>
        </w:r>
      </w:hyperlink>
      <w:r>
        <w:t xml:space="preserve">)</w:t>
      </w:r>
      <w:r>
        <w:t xml:space="preserve"> </w:t>
      </w:r>
      <w:r>
        <w:t xml:space="preserve">re-implements functions from</w:t>
      </w:r>
      <w:r>
        <w:t xml:space="preserve"> </w:t>
      </w:r>
      <w:r>
        <w:rPr>
          <w:rStyle w:val="VerbatimChar"/>
        </w:rPr>
        <w:t xml:space="preserve">pks</w:t>
      </w:r>
      <w:r>
        <w:t xml:space="preserve"> </w:t>
      </w:r>
      <w:r>
        <w:t xml:space="preserve">in C++. This holds for the conversion functions</w:t>
      </w:r>
      <w:r>
        <w:t xml:space="preserve"> </w:t>
      </w:r>
      <w:r>
        <w:rPr>
          <w:rStyle w:val="VerbatimChar"/>
        </w:rPr>
        <w:t xml:space="preserve">as.binmat()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as.pattern()</w:t>
      </w:r>
      <w:r>
        <w:t xml:space="preserve"> </w:t>
      </w:r>
      <w:r>
        <w:t xml:space="preserve">as well as for the new function</w:t>
      </w:r>
      <w:r>
        <w:t xml:space="preserve"> </w:t>
      </w:r>
      <w:r>
        <w:rPr>
          <w:rStyle w:val="VerbatimChar"/>
        </w:rPr>
        <w:t xml:space="preserve">blimCpp()</w:t>
      </w:r>
      <w:r>
        <w:t xml:space="preserve">.</w:t>
      </w:r>
    </w:p>
    <w:p>
      <w:pPr>
        <w:pStyle w:val="BodyText"/>
      </w:pPr>
      <w:r>
        <w:t xml:space="preserve">Furthermore, there is a new functionality by the</w:t>
      </w:r>
      <w:r>
        <w:t xml:space="preserve"> </w:t>
      </w:r>
      <w:r>
        <w:rPr>
          <w:rStyle w:val="VerbatimChar"/>
        </w:rPr>
        <w:t xml:space="preserve">glimCpp()</w:t>
      </w:r>
      <w:r>
        <w:t xml:space="preserve"> </w:t>
      </w:r>
      <w:r>
        <w:t xml:space="preserve">function which provides</w:t>
      </w:r>
      <w:r>
        <w:t xml:space="preserve"> </w:t>
      </w:r>
      <w:r>
        <w:t xml:space="preserve">a</w:t>
      </w:r>
      <w:r>
        <w:t xml:space="preserve"> </w:t>
      </w:r>
      <w:r>
        <w:rPr>
          <w:i/>
          <w:iCs/>
        </w:rPr>
        <w:t xml:space="preserve">generalized</w:t>
      </w:r>
      <w:r>
        <w:t xml:space="preserve"> </w:t>
      </w:r>
      <w:r>
        <w:t xml:space="preserve">local independence model.</w:t>
      </w:r>
    </w:p>
    <w:bookmarkEnd w:id="66"/>
    <w:bookmarkEnd w:id="67"/>
    <w:bookmarkEnd w:id="68"/>
    <w:bookmarkStart w:id="83" w:name="specific"/>
    <w:p>
      <w:pPr>
        <w:pStyle w:val="Heading1"/>
      </w:pPr>
      <w:r>
        <w:rPr>
          <w:rStyle w:val="SectionNumber"/>
        </w:rPr>
        <w:t xml:space="preserve">5</w:t>
      </w:r>
      <w:r>
        <w:tab/>
      </w:r>
      <w:r>
        <w:t xml:space="preserve">Specific functionalities</w:t>
      </w:r>
    </w:p>
    <w:bookmarkStart w:id="69" w:name="cdss"/>
    <w:p>
      <w:pPr>
        <w:pStyle w:val="Heading2"/>
      </w:pPr>
      <w:r>
        <w:rPr>
          <w:rStyle w:val="SectionNumber"/>
        </w:rPr>
        <w:t xml:space="preserve">5.1</w:t>
      </w:r>
      <w:r>
        <w:tab/>
      </w:r>
      <w:r>
        <w:rPr>
          <w:rStyle w:val="VerbatimChar"/>
        </w:rPr>
        <w:t xml:space="preserve">CDSS</w:t>
      </w:r>
    </w:p>
    <w:p>
      <w:pPr>
        <w:pStyle w:val="FirstParagraph"/>
      </w:pPr>
      <w:r>
        <w:rPr>
          <w:rStyle w:val="VerbatimChar"/>
        </w:rPr>
        <w:t xml:space="preserve">CDSS</w:t>
      </w:r>
      <w:r>
        <w:t xml:space="preserve"> </w:t>
      </w:r>
      <w:r>
        <w:t xml:space="preserve">(</w:t>
      </w:r>
      <w:hyperlink w:anchor="ref-hockemeyer:cdss">
        <w:r>
          <w:rPr>
            <w:rStyle w:val="Hyperlink"/>
          </w:rPr>
          <w:t xml:space="preserve">Hockemeyer 2026b</w:t>
        </w:r>
      </w:hyperlink>
      <w:r>
        <w:t xml:space="preserve">)</w:t>
      </w:r>
      <w:r>
        <w:t xml:space="preserve"> </w:t>
      </w:r>
      <w:r>
        <w:t xml:space="preserve">aims at deriving structures from an</w:t>
      </w:r>
      <w:r>
        <w:t xml:space="preserve"> </w:t>
      </w:r>
      <w:r>
        <w:t xml:space="preserve">assignment of taught and required, respectively, skills to learning objects in</w:t>
      </w:r>
      <w:r>
        <w:t xml:space="preserve"> </w:t>
      </w:r>
      <w:r>
        <w:t xml:space="preserve">an existing course. These structures are to be seen as rapid prototypes which</w:t>
      </w:r>
      <w:r>
        <w:t xml:space="preserve"> </w:t>
      </w:r>
      <w:r>
        <w:t xml:space="preserve">need further refinement. Nevertheless, it should drastically simplify the</w:t>
      </w:r>
      <w:r>
        <w:t xml:space="preserve"> </w:t>
      </w:r>
      <w:r>
        <w:t xml:space="preserve">process of developing such structures.</w:t>
      </w:r>
    </w:p>
    <w:p>
      <w:pPr>
        <w:pStyle w:val="BodyText"/>
      </w:pPr>
      <w:r>
        <w:t xml:space="preserve">As first step, a skill assignment is read from a respective spreadsheet file</w:t>
      </w:r>
      <w:r>
        <w:t xml:space="preserve"> </w:t>
      </w:r>
      <w:r>
        <w:t xml:space="preserve">using</w:t>
      </w:r>
      <w:r>
        <w:t xml:space="preserve"> </w:t>
      </w:r>
      <w:r>
        <w:rPr>
          <w:rStyle w:val="VerbatimChar"/>
        </w:rPr>
        <w:t xml:space="preserve">cdss_read_skill_assignment()</w:t>
      </w:r>
      <w:r>
        <w:t xml:space="preserve">. This function checks certain conditions</w:t>
      </w:r>
      <w:r>
        <w:t xml:space="preserve"> </w:t>
      </w:r>
      <w:r>
        <w:t xml:space="preserve">and rejects the data by default if these conditions are not met. Afterwards,</w:t>
      </w:r>
      <w:r>
        <w:t xml:space="preserve"> </w:t>
      </w:r>
      <w:r>
        <w:t xml:space="preserve">attribution functions on skill and learning object level can be obtained</w:t>
      </w:r>
      <w:r>
        <w:t xml:space="preserve"> </w:t>
      </w:r>
      <w:r>
        <w:t xml:space="preserve">through</w:t>
      </w:r>
      <w:r>
        <w:t xml:space="preserve"> </w:t>
      </w:r>
      <w:r>
        <w:rPr>
          <w:rStyle w:val="VerbatimChar"/>
        </w:rPr>
        <w:t xml:space="preserve">cdss_skill_sa2af()</w:t>
      </w:r>
      <w:r>
        <w:t xml:space="preserve">and</w:t>
      </w:r>
      <w:r>
        <w:t xml:space="preserve"> </w:t>
      </w:r>
      <w:r>
        <w:rPr>
          <w:rStyle w:val="VerbatimChar"/>
        </w:rPr>
        <w:t xml:space="preserve">cdss_lo_sa2af()</w:t>
      </w:r>
      <w:r>
        <w:t xml:space="preserve">, respectively.</w:t>
      </w:r>
    </w:p>
    <w:p>
      <w:pPr>
        <w:pStyle w:val="BodyText"/>
      </w:pPr>
      <w:r>
        <w:t xml:space="preserve">Under certain conditions, a skill assignment may also lead to attribution</w:t>
      </w:r>
      <w:r>
        <w:t xml:space="preserve"> </w:t>
      </w:r>
      <w:r>
        <w:t xml:space="preserve">relations instead of attibution functions. This can be checked with</w:t>
      </w:r>
      <w:r>
        <w:t xml:space="preserve"> </w:t>
      </w:r>
      <w:r>
        <w:rPr>
          <w:rStyle w:val="VerbatimChar"/>
        </w:rPr>
        <w:t xml:space="preserve">cdss_sa_describes_sr()</w:t>
      </w:r>
      <w:r>
        <w:t xml:space="preserve">. If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the attribution relations can be</w:t>
      </w:r>
      <w:r>
        <w:t xml:space="preserve"> </w:t>
      </w:r>
      <w:r>
        <w:t xml:space="preserve">determined with</w:t>
      </w:r>
      <w:r>
        <w:t xml:space="preserve"> </w:t>
      </w:r>
      <w:r>
        <w:rPr>
          <w:rStyle w:val="VerbatimChar"/>
        </w:rPr>
        <w:t xml:space="preserve">cdss_skill_sa2ar()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cdss_lo_sa2ar()</w:t>
      </w:r>
      <w:r>
        <w:t xml:space="preserve">.</w:t>
      </w:r>
    </w:p>
    <w:p>
      <w:pPr>
        <w:pStyle w:val="BodyText"/>
      </w:pPr>
      <w:r>
        <w:t xml:space="preserve">Attribution functions and attribution relations can subsequently be closed</w:t>
      </w:r>
      <w:r>
        <w:t xml:space="preserve"> </w:t>
      </w:r>
      <w:r>
        <w:t xml:space="preserve">to surmise functions and surmise relations, respectively, applying</w:t>
      </w:r>
      <w:r>
        <w:t xml:space="preserve"> </w:t>
      </w:r>
      <w:r>
        <w:rPr>
          <w:rStyle w:val="VerbatimChar"/>
        </w:rPr>
        <w:t xml:space="preserve">kstMatrix::kmclosure(). These can then be further processed using</w:t>
      </w:r>
      <w:r>
        <w:t xml:space="preserve">kstMatrix` (see</w:t>
      </w:r>
      <w:r>
        <w:t xml:space="preserve"> </w:t>
      </w:r>
      <w:hyperlink w:anchor="kstmatrixpkg">
        <w:r>
          <w:rPr>
            <w:rStyle w:val="Hyperlink"/>
          </w:rPr>
          <w:t xml:space="preserve">above</w:t>
        </w:r>
      </w:hyperlink>
      <w:r>
        <w:t xml:space="preserve">) functions.</w:t>
      </w:r>
    </w:p>
    <w:p>
      <w:pPr>
        <w:pStyle w:val="BodyText"/>
      </w:pPr>
      <w:r>
        <w:t xml:space="preserve">Furthermore,</w:t>
      </w:r>
      <w:r>
        <w:t xml:space="preserve"> </w:t>
      </w:r>
      <w:r>
        <w:rPr>
          <w:rStyle w:val="VerbatimChar"/>
        </w:rPr>
        <w:t xml:space="preserve">CDSS</w:t>
      </w:r>
      <w:r>
        <w:t xml:space="preserve"> </w:t>
      </w:r>
      <w:r>
        <w:t xml:space="preserve">offers the</w:t>
      </w:r>
      <w:r>
        <w:t xml:space="preserve"> </w:t>
      </w:r>
      <w:r>
        <w:rPr>
          <w:rStyle w:val="VerbatimChar"/>
        </w:rPr>
        <w:t xml:space="preserve">cdss_sa2mu()</w:t>
      </w:r>
      <w:r>
        <w:t xml:space="preserve"> </w:t>
      </w:r>
      <w:r>
        <w:t xml:space="preserve">function which creates</w:t>
      </w:r>
      <w:r>
        <w:t xml:space="preserve"> </w:t>
      </w:r>
      <w:r>
        <w:t xml:space="preserve">an interface to the</w:t>
      </w:r>
      <w:r>
        <w:t xml:space="preserve"> </w:t>
      </w:r>
      <w:r>
        <w:rPr>
          <w:rStyle w:val="VerbatimChar"/>
        </w:rPr>
        <w:t xml:space="preserve">CbKST</w:t>
      </w:r>
      <w:r>
        <w:t xml:space="preserve"> </w:t>
      </w:r>
      <w:r>
        <w:t xml:space="preserve">package (see</w:t>
      </w:r>
      <w:r>
        <w:t xml:space="preserve"> </w:t>
      </w:r>
      <w:hyperlink w:anchor="cbkstpkg">
        <w:r>
          <w:rPr>
            <w:rStyle w:val="Hyperlink"/>
          </w:rPr>
          <w:t xml:space="preserve">above</w:t>
        </w:r>
      </w:hyperlink>
      <w:r>
        <w:t xml:space="preserve">)</w:t>
      </w:r>
    </w:p>
    <w:bookmarkEnd w:id="69"/>
    <w:bookmarkStart w:id="77" w:name="daks"/>
    <w:p>
      <w:pPr>
        <w:pStyle w:val="Heading2"/>
      </w:pPr>
      <w:r>
        <w:rPr>
          <w:rStyle w:val="SectionNumber"/>
        </w:rPr>
        <w:t xml:space="preserve">5.2</w:t>
      </w:r>
      <w:r>
        <w:tab/>
      </w:r>
      <w:r>
        <w:rPr>
          <w:rStyle w:val="VerbatimChar"/>
        </w:rPr>
        <w:t xml:space="preserve">DAKS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DAKS</w:t>
      </w:r>
      <w:r>
        <w:t xml:space="preserve"> </w:t>
      </w:r>
      <w:r>
        <w:t xml:space="preserve">package</w:t>
      </w:r>
      <w:r>
        <w:t xml:space="preserve"> </w:t>
      </w:r>
      <w:r>
        <w:t xml:space="preserve">(</w:t>
      </w:r>
      <w:hyperlink w:anchor="ref-sargin:daks">
        <w:r>
          <w:rPr>
            <w:rStyle w:val="Hyperlink"/>
          </w:rPr>
          <w:t xml:space="preserve">Sargin and Ünlü 2016</w:t>
        </w:r>
      </w:hyperlink>
      <w:r>
        <w:t xml:space="preserve">;</w:t>
      </w:r>
      <w:r>
        <w:t xml:space="preserve"> </w:t>
      </w:r>
      <w:hyperlink w:anchor="ref-uenlue:10">
        <w:r>
          <w:rPr>
            <w:rStyle w:val="Hyperlink"/>
          </w:rPr>
          <w:t xml:space="preserve">Ünlü and Sargin 2010</w:t>
        </w:r>
      </w:hyperlink>
      <w:r>
        <w:t xml:space="preserve">)</w:t>
      </w:r>
      <w:r>
        <w:t xml:space="preserve"> </w:t>
      </w:r>
      <w:r>
        <w:t xml:space="preserve">provides functions and</w:t>
      </w:r>
      <w:r>
        <w:t xml:space="preserve"> </w:t>
      </w:r>
      <w:r>
        <w:t xml:space="preserve">a data set for the</w:t>
      </w:r>
      <w:r>
        <w:t xml:space="preserve"> </w:t>
      </w:r>
      <w:r>
        <w:rPr>
          <w:i/>
          <w:iCs/>
        </w:rPr>
        <w:t xml:space="preserve">inductive item tree analysis.</w:t>
      </w:r>
      <w:r>
        <w:t xml:space="preserve"> </w:t>
      </w:r>
      <w:r>
        <w:t xml:space="preserve">Most of its functions are</w:t>
      </w:r>
      <w:r>
        <w:t xml:space="preserve"> </w:t>
      </w:r>
      <w:r>
        <w:t xml:space="preserve">primarily aimed for internal usage. The main function is</w:t>
      </w:r>
      <w:r>
        <w:t xml:space="preserve"> </w:t>
      </w:r>
      <w:r>
        <w:rPr>
          <w:rStyle w:val="VerbatimChar"/>
        </w:rPr>
        <w:t xml:space="preserve">iita()</w:t>
      </w:r>
      <w:r>
        <w:t xml:space="preserve">, its second</w:t>
      </w:r>
      <w:r>
        <w:t xml:space="preserve"> </w:t>
      </w:r>
      <w:r>
        <w:t xml:space="preserve">parameter selects the concrete method to be used.</w:t>
      </w:r>
    </w:p>
    <w:p>
      <w:pPr>
        <w:pStyle w:val="SourceCode"/>
      </w:pPr>
      <w:r>
        <w:rPr>
          <w:rStyle w:val="NormalTok"/>
        </w:rPr>
        <w:t xml:space="preserve">simdata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kmsimulate</w:t>
      </w:r>
      <w:r>
        <w:rPr>
          <w:rStyle w:val="NormalTok"/>
        </w:rPr>
        <w:t xml:space="preserve">(ksp,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beta=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eta=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i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iita</w:t>
      </w:r>
      <w:r>
        <w:rPr>
          <w:rStyle w:val="NormalTok"/>
        </w:rPr>
        <w:t xml:space="preserve">(simdata, </w:t>
      </w:r>
      <w:r>
        <w:rPr>
          <w:rStyle w:val="AttributeTok"/>
        </w:rPr>
        <w:t xml:space="preserve">v=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i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Inductive Item Tree Analysis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Algorithm: minimized corrected IITA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quasi order: {(1L, 4L), (1L, 6L), (1L, 7L), (2L, 4L), (2L, 5L),</w:t>
      </w:r>
      <w:r>
        <w:br/>
      </w:r>
      <w:r>
        <w:rPr>
          <w:rStyle w:val="CommentTok"/>
        </w:rPr>
        <w:t xml:space="preserve">#&gt;  (2L, 7L), (3L, 4L), (3L, 5L), (3L, 6L), (3L, 7L),</w:t>
      </w:r>
      <w:r>
        <w:br/>
      </w:r>
      <w:r>
        <w:rPr>
          <w:rStyle w:val="CommentTok"/>
        </w:rPr>
        <w:t xml:space="preserve">#&gt;  (4L, 7L), (5L, 4L), (5L, 7L), (6L, 4L), (6L, 7L)}</w:t>
      </w:r>
    </w:p>
    <w:p>
      <w:pPr>
        <w:pStyle w:val="SourceCode"/>
      </w:pPr>
      <w:r>
        <w:rPr>
          <w:rStyle w:val="FunctionTok"/>
        </w:rPr>
        <w:t xml:space="preserve">hasse</w:t>
      </w:r>
      <w:r>
        <w:rPr>
          <w:rStyle w:val="NormalTok"/>
        </w:rPr>
        <w:t xml:space="preserve">(i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implications, </w:t>
      </w:r>
      <w:r>
        <w:rPr>
          <w:rStyle w:val="AttributeTok"/>
        </w:rPr>
        <w:t xml:space="preserve">items=</w:t>
      </w:r>
      <w:r>
        <w:rPr>
          <w:rStyle w:val="DecValTok"/>
        </w:rPr>
        <w:t xml:space="preserve">7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2400300" cy="1370449"/>
            <wp:effectExtent b="0" l="0" r="0" t="0"/>
            <wp:docPr descr="Implications determined by DAKS compared to the true relation" title="" id="71" name="Picture"/>
            <a:graphic>
              <a:graphicData uri="http://schemas.openxmlformats.org/drawingml/2006/picture">
                <pic:pic>
                  <pic:nvPicPr>
                    <pic:cNvPr descr="Hockemeyer_KST-R_files/figures/DAKS-hasse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3704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400300" cy="2551991"/>
            <wp:effectExtent b="0" l="0" r="0" t="0"/>
            <wp:docPr descr="Implications determined by DAKS compared to the true relation" title="" id="74" name="Picture"/>
            <a:graphic>
              <a:graphicData uri="http://schemas.openxmlformats.org/drawingml/2006/picture">
                <pic:pic>
                  <pic:nvPicPr>
                    <pic:cNvPr descr="Hockemeyer_KST-R_files/figures/DAKS-plot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5519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76" w:name="daksdata"/>
    <w:p>
      <w:pPr>
        <w:pStyle w:val="Heading3"/>
      </w:pPr>
      <w:r>
        <w:rPr>
          <w:rStyle w:val="SectionNumber"/>
        </w:rPr>
        <w:t xml:space="preserve">5.2.1</w:t>
      </w:r>
      <w:r>
        <w:tab/>
      </w:r>
      <w:r>
        <w:t xml:space="preserve">Data provided by</w:t>
      </w:r>
      <w:r>
        <w:t xml:space="preserve"> </w:t>
      </w:r>
      <w:r>
        <w:rPr>
          <w:rStyle w:val="VerbatimChar"/>
        </w:rPr>
        <w:t xml:space="preserve">DAKS</w:t>
      </w:r>
    </w:p>
    <w:p>
      <w:pPr>
        <w:pStyle w:val="FirstParagraph"/>
      </w:pPr>
      <w:r>
        <w:rPr>
          <w:rStyle w:val="VerbatimChar"/>
        </w:rPr>
        <w:t xml:space="preserve">DAKS</w:t>
      </w:r>
      <w:r>
        <w:t xml:space="preserve"> </w:t>
      </w:r>
      <w:r>
        <w:t xml:space="preserve">provides a data set from the 2003 PISA (Programme for International</w:t>
      </w:r>
      <w:r>
        <w:t xml:space="preserve"> </w:t>
      </w:r>
      <w:r>
        <w:t xml:space="preserve">Student Assessment) test. It contains 340 response patterns on a 5-item-test</w:t>
      </w:r>
      <w:r>
        <w:t xml:space="preserve"> </w:t>
      </w:r>
      <w:r>
        <w:t xml:space="preserve">on mathematical literacy.</w:t>
      </w:r>
    </w:p>
    <w:bookmarkEnd w:id="76"/>
    <w:bookmarkEnd w:id="77"/>
    <w:bookmarkStart w:id="82" w:name="mycaas"/>
    <w:p>
      <w:pPr>
        <w:pStyle w:val="Heading2"/>
      </w:pPr>
      <w:r>
        <w:rPr>
          <w:rStyle w:val="SectionNumber"/>
        </w:rPr>
        <w:t xml:space="preserve">5.3</w:t>
      </w:r>
      <w:r>
        <w:tab/>
      </w:r>
      <w:r>
        <w:rPr>
          <w:rStyle w:val="VerbatimChar"/>
        </w:rPr>
        <w:t xml:space="preserve">mycaas</w:t>
      </w:r>
    </w:p>
    <w:p>
      <w:pPr>
        <w:pStyle w:val="FirstParagraph"/>
      </w:pPr>
      <w:r>
        <w:rPr>
          <w:rStyle w:val="VerbatimChar"/>
        </w:rPr>
        <w:t xml:space="preserve">mycaas</w:t>
      </w:r>
      <w:r>
        <w:t xml:space="preserve"> </w:t>
      </w:r>
      <w:r>
        <w:t xml:space="preserve">(</w:t>
      </w:r>
      <w:hyperlink w:anchor="ref-brancaccio:mycaas">
        <w:r>
          <w:rPr>
            <w:rStyle w:val="Hyperlink"/>
          </w:rPr>
          <w:t xml:space="preserve">Brancaccio and Granziol 2024</w:t>
        </w:r>
      </w:hyperlink>
      <w:r>
        <w:t xml:space="preserve">)</w:t>
      </w:r>
      <w:r>
        <w:t xml:space="preserve"> </w:t>
      </w:r>
      <w:r>
        <w:t xml:space="preserve">provides functions and Shiny apps for the</w:t>
      </w:r>
      <w:r>
        <w:t xml:space="preserve"> </w:t>
      </w:r>
      <w:r>
        <w:t xml:space="preserve">adaptive assessment of knowledge. Actually, the</w:t>
      </w:r>
      <w:r>
        <w:t xml:space="preserve"> </w:t>
      </w:r>
      <w:r>
        <w:rPr>
          <w:i/>
          <w:iCs/>
        </w:rPr>
        <w:t xml:space="preserve">halfsplit</w:t>
      </w:r>
      <w:r>
        <w:t xml:space="preserve"> </w:t>
      </w:r>
      <w:r>
        <w:t xml:space="preserve">questioning rule</w:t>
      </w:r>
      <w:r>
        <w:t xml:space="preserve"> </w:t>
      </w:r>
      <w:r>
        <w:t xml:space="preserve">and the</w:t>
      </w:r>
      <w:r>
        <w:t xml:space="preserve"> </w:t>
      </w:r>
      <w:r>
        <w:rPr>
          <w:i/>
          <w:iCs/>
        </w:rPr>
        <w:t xml:space="preserve">multiplicativ</w:t>
      </w:r>
      <w:r>
        <w:t xml:space="preserve"> </w:t>
      </w:r>
      <w:r>
        <w:t xml:space="preserve">update rule are applkied.</w:t>
      </w:r>
    </w:p>
    <w:p>
      <w:pPr>
        <w:pStyle w:val="BodyText"/>
      </w:pPr>
      <w:r>
        <w:t xml:space="preserve">The core routine is the</w:t>
      </w:r>
      <w:r>
        <w:t xml:space="preserve"> </w:t>
      </w:r>
      <w:r>
        <w:rPr>
          <w:rStyle w:val="VerbatimChar"/>
        </w:rPr>
        <w:t xml:space="preserve">assessment()</w:t>
      </w:r>
      <w:r>
        <w:t xml:space="preserve"> </w:t>
      </w:r>
      <w:r>
        <w:t xml:space="preserve">function. Several parts of the</w:t>
      </w:r>
      <w:r>
        <w:t xml:space="preserve"> </w:t>
      </w:r>
      <w:r>
        <w:t xml:space="preserve">assessment are realized in own functions.</w:t>
      </w:r>
      <w:r>
        <w:t xml:space="preserve"> </w:t>
      </w:r>
      <w:r>
        <w:rPr>
          <w:rStyle w:val="VerbatimChar"/>
        </w:rPr>
        <w:t xml:space="preserve">mycaas</w:t>
      </w:r>
      <w:r>
        <w:t xml:space="preserve"> </w:t>
      </w:r>
      <w:r>
        <w:t xml:space="preserve">includes two Shiny app</w:t>
      </w:r>
      <w:r>
        <w:t xml:space="preserve"> </w:t>
      </w:r>
      <w:r>
        <w:t xml:space="preserve">functions</w:t>
      </w:r>
      <w:r>
        <w:t xml:space="preserve"> </w:t>
      </w:r>
      <w:r>
        <w:rPr>
          <w:rStyle w:val="VerbatimChar"/>
        </w:rPr>
        <w:t xml:space="preserve">run_Assessment()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run_Practice()</w:t>
      </w:r>
      <w:r>
        <w:t xml:space="preserve">. The result can then</w:t>
      </w:r>
      <w:r>
        <w:t xml:space="preserve"> </w:t>
      </w:r>
      <w:r>
        <w:t xml:space="preserve">be further inspected, e.g. plotting a Hasse diagram of the knowledge structure</w:t>
      </w:r>
      <w:r>
        <w:t xml:space="preserve"> </w:t>
      </w:r>
      <w:r>
        <w:t xml:space="preserve">with the assessed knowledge state and its neighbors being marked.</w:t>
      </w:r>
    </w:p>
    <w:p>
      <w:pPr>
        <w:pStyle w:val="CaptionedFigure"/>
      </w:pPr>
      <w:r>
        <w:drawing>
          <wp:inline>
            <wp:extent cx="3467100" cy="3371339"/>
            <wp:effectExtent b="0" l="0" r="0" t="0"/>
            <wp:docPr descr="`mycaas assessment result" title="" id="79" name="Picture"/>
            <a:graphic>
              <a:graphicData uri="http://schemas.openxmlformats.org/drawingml/2006/picture">
                <pic:pic>
                  <pic:nvPicPr>
                    <pic:cNvPr descr="Hockemeyer_KST-R_files/figures/mycaas-result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33713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`</w:t>
      </w:r>
      <w:r>
        <w:rPr>
          <w:rStyle w:val="VerbatimChar"/>
        </w:rPr>
        <w:t xml:space="preserve">mycaas</w:t>
      </w:r>
      <w:r>
        <w:t xml:space="preserve"> </w:t>
      </w:r>
      <w:r>
        <w:t xml:space="preserve">assessment result</w:t>
      </w:r>
    </w:p>
    <w:bookmarkStart w:id="81" w:name="mycaasdata"/>
    <w:p>
      <w:pPr>
        <w:pStyle w:val="Heading3"/>
      </w:pPr>
      <w:r>
        <w:rPr>
          <w:rStyle w:val="SectionNumber"/>
        </w:rPr>
        <w:t xml:space="preserve">5.3.1</w:t>
      </w:r>
      <w:r>
        <w:tab/>
      </w:r>
      <w:r>
        <w:t xml:space="preserve">Data</w:t>
      </w:r>
    </w:p>
    <w:p>
      <w:pPr>
        <w:pStyle w:val="FirstParagraph"/>
      </w:pPr>
      <w:r>
        <w:t xml:space="preserve">The data set</w:t>
      </w:r>
      <w:r>
        <w:t xml:space="preserve"> </w:t>
      </w:r>
      <w:r>
        <w:rPr>
          <w:rStyle w:val="VerbatimChar"/>
        </w:rPr>
        <w:t xml:space="preserve">AA_knowledge_test</w:t>
      </w:r>
      <w:r>
        <w:t xml:space="preserve"> </w:t>
      </w:r>
      <w:r>
        <w:t xml:space="preserve">serves as an example for testing the functions</w:t>
      </w:r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mycaas</w:t>
      </w:r>
      <w:r>
        <w:t xml:space="preserve">. It contains a six-items-test on computerized adaptive assessment.</w:t>
      </w:r>
    </w:p>
    <w:bookmarkEnd w:id="81"/>
    <w:bookmarkEnd w:id="82"/>
    <w:bookmarkEnd w:id="83"/>
    <w:bookmarkStart w:id="84" w:name="list-of-described-r-packages"/>
    <w:p>
      <w:pPr>
        <w:pStyle w:val="Heading1"/>
      </w:pPr>
      <w:r>
        <w:t xml:space="preserve">List of described R packages</w:t>
      </w:r>
    </w:p>
    <w:p>
      <w:pPr>
        <w:pStyle w:val="Compact"/>
        <w:numPr>
          <w:ilvl w:val="0"/>
          <w:numId w:val="1008"/>
        </w:numPr>
      </w:pPr>
      <w:hyperlink w:anchor="cbkstpkg">
        <w:r>
          <w:rPr>
            <w:rStyle w:val="Hyperlink"/>
          </w:rPr>
          <w:t xml:space="preserve">CbKST</w:t>
        </w:r>
      </w:hyperlink>
    </w:p>
    <w:p>
      <w:pPr>
        <w:pStyle w:val="Compact"/>
        <w:numPr>
          <w:ilvl w:val="0"/>
          <w:numId w:val="1008"/>
        </w:numPr>
      </w:pPr>
      <w:hyperlink w:anchor="cdss">
        <w:r>
          <w:rPr>
            <w:rStyle w:val="Hyperlink"/>
          </w:rPr>
          <w:t xml:space="preserve">CDSS</w:t>
        </w:r>
      </w:hyperlink>
    </w:p>
    <w:p>
      <w:pPr>
        <w:pStyle w:val="Compact"/>
        <w:numPr>
          <w:ilvl w:val="0"/>
          <w:numId w:val="1008"/>
        </w:numPr>
      </w:pPr>
      <w:hyperlink w:anchor="daks">
        <w:r>
          <w:rPr>
            <w:rStyle w:val="Hyperlink"/>
          </w:rPr>
          <w:t xml:space="preserve">DAKS</w:t>
        </w:r>
      </w:hyperlink>
    </w:p>
    <w:p>
      <w:pPr>
        <w:pStyle w:val="Compact"/>
        <w:numPr>
          <w:ilvl w:val="0"/>
          <w:numId w:val="1008"/>
        </w:numPr>
      </w:pPr>
      <w:hyperlink w:anchor="kstpkg">
        <w:r>
          <w:rPr>
            <w:rStyle w:val="Hyperlink"/>
          </w:rPr>
          <w:t xml:space="preserve">kst</w:t>
        </w:r>
      </w:hyperlink>
    </w:p>
    <w:p>
      <w:pPr>
        <w:pStyle w:val="Compact"/>
        <w:numPr>
          <w:ilvl w:val="0"/>
          <w:numId w:val="1008"/>
        </w:numPr>
      </w:pPr>
      <w:hyperlink w:anchor="kstio">
        <w:r>
          <w:rPr>
            <w:rStyle w:val="Hyperlink"/>
          </w:rPr>
          <w:t xml:space="preserve">kstIO</w:t>
        </w:r>
      </w:hyperlink>
    </w:p>
    <w:p>
      <w:pPr>
        <w:pStyle w:val="Compact"/>
        <w:numPr>
          <w:ilvl w:val="0"/>
          <w:numId w:val="1008"/>
        </w:numPr>
      </w:pPr>
      <w:hyperlink w:anchor="kstmatrixpkg">
        <w:r>
          <w:rPr>
            <w:rStyle w:val="Hyperlink"/>
          </w:rPr>
          <w:t xml:space="preserve">kstMatrix</w:t>
        </w:r>
      </w:hyperlink>
    </w:p>
    <w:p>
      <w:pPr>
        <w:pStyle w:val="Compact"/>
        <w:numPr>
          <w:ilvl w:val="0"/>
          <w:numId w:val="1008"/>
        </w:numPr>
      </w:pPr>
      <w:hyperlink w:anchor="mycaas">
        <w:r>
          <w:rPr>
            <w:rStyle w:val="Hyperlink"/>
          </w:rPr>
          <w:t xml:space="preserve">mycaas</w:t>
        </w:r>
      </w:hyperlink>
    </w:p>
    <w:p>
      <w:pPr>
        <w:pStyle w:val="Compact"/>
        <w:numPr>
          <w:ilvl w:val="0"/>
          <w:numId w:val="1008"/>
        </w:numPr>
      </w:pPr>
      <w:hyperlink w:anchor="pkspkg">
        <w:r>
          <w:rPr>
            <w:rStyle w:val="Hyperlink"/>
          </w:rPr>
          <w:t xml:space="preserve">pks</w:t>
        </w:r>
      </w:hyperlink>
    </w:p>
    <w:p>
      <w:pPr>
        <w:pStyle w:val="Compact"/>
        <w:numPr>
          <w:ilvl w:val="0"/>
          <w:numId w:val="1008"/>
        </w:numPr>
      </w:pPr>
      <w:hyperlink w:anchor="pkscpp">
        <w:r>
          <w:rPr>
            <w:rStyle w:val="Hyperlink"/>
          </w:rPr>
          <w:t xml:space="preserve">pksCpp</w:t>
        </w:r>
      </w:hyperlink>
    </w:p>
    <w:bookmarkEnd w:id="84"/>
    <w:bookmarkStart w:id="147" w:name="references"/>
    <w:p>
      <w:pPr>
        <w:pStyle w:val="Heading1"/>
      </w:pPr>
      <w:r>
        <w:t xml:space="preserve">References</w:t>
      </w:r>
    </w:p>
    <w:bookmarkStart w:id="146" w:name="refs"/>
    <w:bookmarkStart w:id="86" w:name="ref-albert:b99"/>
    <w:p>
      <w:pPr>
        <w:pStyle w:val="Bibliography"/>
      </w:pPr>
      <w:r>
        <w:t xml:space="preserve">Albert, Dietrich, and Josef Lukas, eds. 1999.</w:t>
      </w:r>
      <w:r>
        <w:t xml:space="preserve"> </w:t>
      </w:r>
      <w:r>
        <w:rPr>
          <w:i/>
          <w:iCs/>
        </w:rPr>
        <w:t xml:space="preserve">Knowledge Spaces: Theories, Empirical Research, Applications</w:t>
      </w:r>
      <w:r>
        <w:t xml:space="preserve">. Lawrence Erlbaum Associates.</w:t>
      </w:r>
      <w:r>
        <w:t xml:space="preserve"> </w:t>
      </w:r>
      <w:hyperlink r:id="rId85">
        <w:r>
          <w:rPr>
            <w:rStyle w:val="Hyperlink"/>
          </w:rPr>
          <w:t xml:space="preserve">https://doi.org/10.4324/9781410602077</w:t>
        </w:r>
      </w:hyperlink>
      <w:r>
        <w:t xml:space="preserve">.</w:t>
      </w:r>
    </w:p>
    <w:bookmarkEnd w:id="86"/>
    <w:bookmarkStart w:id="88" w:name="ref-augustin:15"/>
    <w:p>
      <w:pPr>
        <w:pStyle w:val="Bibliography"/>
      </w:pPr>
      <w:r>
        <w:t xml:space="preserve">Augustin, Thomas, Cord Hockemeyer, Reinhard Suck, Patrick Podbregar, Michael D. Kickmeier-Rust, and Dietrich Albert. 2015.</w:t>
      </w:r>
      <w:r>
        <w:t xml:space="preserve"> </w:t>
      </w:r>
      <w:r>
        <w:t xml:space="preserve">“Individualized Skill Assessment in Educational Games: The Mathematical Foundations of Partitioning.”</w:t>
      </w:r>
      <w:r>
        <w:t xml:space="preserve"> </w:t>
      </w:r>
      <w:r>
        <w:rPr>
          <w:i/>
          <w:iCs/>
        </w:rPr>
        <w:t xml:space="preserve">Journal of Mathematical Psychology</w:t>
      </w:r>
      <w:r>
        <w:t xml:space="preserve"> </w:t>
      </w:r>
      <w:r>
        <w:t xml:space="preserve">67: 1–7.</w:t>
      </w:r>
      <w:r>
        <w:t xml:space="preserve"> </w:t>
      </w:r>
      <w:hyperlink r:id="rId87">
        <w:r>
          <w:rPr>
            <w:rStyle w:val="Hyperlink"/>
          </w:rPr>
          <w:t xml:space="preserve">https://doi.org/10.1016/j.jmp.2015.05.003</w:t>
        </w:r>
      </w:hyperlink>
      <w:r>
        <w:t xml:space="preserve">.</w:t>
      </w:r>
    </w:p>
    <w:bookmarkEnd w:id="88"/>
    <w:bookmarkStart w:id="90" w:name="ref-baumunk:97"/>
    <w:p>
      <w:pPr>
        <w:pStyle w:val="Bibliography"/>
      </w:pPr>
      <w:r>
        <w:t xml:space="preserve">Baumunk, Katja, and Cornelia E. Dowling. 1997.</w:t>
      </w:r>
      <w:r>
        <w:t xml:space="preserve"> </w:t>
      </w:r>
      <w:r>
        <w:t xml:space="preserve">“Validity of Spaces for Assessing Knowledge about Fractions.”</w:t>
      </w:r>
      <w:r>
        <w:t xml:space="preserve"> </w:t>
      </w:r>
      <w:r>
        <w:rPr>
          <w:i/>
          <w:iCs/>
        </w:rPr>
        <w:t xml:space="preserve">Journal of Mathematical Psychology</w:t>
      </w:r>
      <w:r>
        <w:t xml:space="preserve"> </w:t>
      </w:r>
      <w:r>
        <w:t xml:space="preserve">41: 99–105.</w:t>
      </w:r>
      <w:r>
        <w:t xml:space="preserve"> </w:t>
      </w:r>
      <w:hyperlink r:id="rId89">
        <w:r>
          <w:rPr>
            <w:rStyle w:val="Hyperlink"/>
          </w:rPr>
          <w:t xml:space="preserve">https://doi.org/10.1006/jmps.1997.1152</w:t>
        </w:r>
      </w:hyperlink>
      <w:r>
        <w:t xml:space="preserve">.</w:t>
      </w:r>
    </w:p>
    <w:bookmarkEnd w:id="90"/>
    <w:bookmarkStart w:id="92" w:name="ref-brancaccio:heller"/>
    <w:p>
      <w:pPr>
        <w:pStyle w:val="Bibliography"/>
      </w:pPr>
      <w:r>
        <w:t xml:space="preserve">Brancaccio, Andrea, Debora de Chiusole, and Florian Wickelmaier. 2024.</w:t>
      </w:r>
      <w:r>
        <w:t xml:space="preserve"> </w:t>
      </w:r>
      <w:r>
        <w:t xml:space="preserve">“Software Packages for Knowledge Space Theory.”</w:t>
      </w:r>
      <w:r>
        <w:t xml:space="preserve"> </w:t>
      </w:r>
      <w:r>
        <w:t xml:space="preserve">In</w:t>
      </w:r>
      <w:r>
        <w:t xml:space="preserve"> </w:t>
      </w:r>
      <w:r>
        <w:rPr>
          <w:i/>
          <w:iCs/>
        </w:rPr>
        <w:t xml:space="preserve">Knowledge Structures: Recent Developments in Theory and Application</w:t>
      </w:r>
      <w:r>
        <w:t xml:space="preserve">, edited by Jürgen Heller and Luca Stefanutti, vol. 7. Advanced Series on Mathematical Psychology. World Scientific.</w:t>
      </w:r>
      <w:r>
        <w:t xml:space="preserve"> </w:t>
      </w:r>
      <w:hyperlink r:id="rId91">
        <w:r>
          <w:rPr>
            <w:rStyle w:val="Hyperlink"/>
          </w:rPr>
          <w:t xml:space="preserve">https://doi.org/10.1142/9789811280481_0012</w:t>
        </w:r>
      </w:hyperlink>
      <w:r>
        <w:t xml:space="preserve">.</w:t>
      </w:r>
    </w:p>
    <w:bookmarkEnd w:id="92"/>
    <w:bookmarkStart w:id="94" w:name="ref-brancaccio:mycaas"/>
    <w:p>
      <w:pPr>
        <w:pStyle w:val="Bibliography"/>
      </w:pPr>
      <w:r>
        <w:t xml:space="preserve">Brancaccio, Andrea, and Umberto Granziol. 2024.</w:t>
      </w:r>
      <w:r>
        <w:t xml:space="preserve"> </w:t>
      </w:r>
      <w:r>
        <w:rPr>
          <w:i/>
          <w:iCs/>
        </w:rPr>
        <w:t xml:space="preserve">Mycaas: My Computerized Adaptive Assessment</w:t>
      </w:r>
      <w:r>
        <w:t xml:space="preserve">. University of Padua, Italy.</w:t>
      </w:r>
      <w:r>
        <w:t xml:space="preserve"> </w:t>
      </w:r>
      <w:hyperlink r:id="rId93">
        <w:r>
          <w:rPr>
            <w:rStyle w:val="Hyperlink"/>
          </w:rPr>
          <w:t xml:space="preserve">https://CRAN.R-project.org/package=mycaas</w:t>
        </w:r>
      </w:hyperlink>
      <w:r>
        <w:t xml:space="preserve">.</w:t>
      </w:r>
    </w:p>
    <w:bookmarkEnd w:id="94"/>
    <w:bookmarkStart w:id="96" w:name="ref-dechiusole:13b"/>
    <w:p>
      <w:pPr>
        <w:pStyle w:val="Bibliography"/>
      </w:pPr>
      <w:r>
        <w:t xml:space="preserve">Chiusole, Debora de, and Luca Stefanutti. 2013.</w:t>
      </w:r>
      <w:r>
        <w:t xml:space="preserve"> </w:t>
      </w:r>
      <w:r>
        <w:t xml:space="preserve">“Modeling Skill Dependence in Probabilistic Competence Structures.”</w:t>
      </w:r>
      <w:r>
        <w:t xml:space="preserve"> </w:t>
      </w:r>
      <w:r>
        <w:rPr>
          <w:i/>
          <w:iCs/>
        </w:rPr>
        <w:t xml:space="preserve">Electronic Notes in Discrete Mathematics</w:t>
      </w:r>
      <w:r>
        <w:t xml:space="preserve"> </w:t>
      </w:r>
      <w:r>
        <w:t xml:space="preserve">42: 41–48.</w:t>
      </w:r>
      <w:r>
        <w:t xml:space="preserve"> </w:t>
      </w:r>
      <w:hyperlink r:id="rId95">
        <w:r>
          <w:rPr>
            <w:rStyle w:val="Hyperlink"/>
          </w:rPr>
          <w:t xml:space="preserve">https://doi.org/10.1016/j.endm.2013.05.144</w:t>
        </w:r>
      </w:hyperlink>
      <w:r>
        <w:t xml:space="preserve">.</w:t>
      </w:r>
    </w:p>
    <w:bookmarkEnd w:id="96"/>
    <w:bookmarkStart w:id="98" w:name="ref-degreef:86"/>
    <w:p>
      <w:pPr>
        <w:pStyle w:val="Bibliography"/>
      </w:pPr>
      <w:r>
        <w:t xml:space="preserve">Degreef, Eric, Jean-Paul Doignon, André Ducamp, and Jean-Claude Falmagne. 1986.</w:t>
      </w:r>
      <w:r>
        <w:t xml:space="preserve"> </w:t>
      </w:r>
      <w:r>
        <w:t xml:space="preserve">“Languages for the Assessment of Knowledge.”</w:t>
      </w:r>
      <w:r>
        <w:t xml:space="preserve"> </w:t>
      </w:r>
      <w:r>
        <w:rPr>
          <w:i/>
          <w:iCs/>
        </w:rPr>
        <w:t xml:space="preserve">Journal of Mathematical Psychology</w:t>
      </w:r>
      <w:r>
        <w:t xml:space="preserve"> </w:t>
      </w:r>
      <w:r>
        <w:t xml:space="preserve">30: 243–56.</w:t>
      </w:r>
      <w:r>
        <w:t xml:space="preserve"> </w:t>
      </w:r>
      <w:hyperlink r:id="rId97">
        <w:r>
          <w:rPr>
            <w:rStyle w:val="Hyperlink"/>
          </w:rPr>
          <w:t xml:space="preserve">https://doi.org/10.1016/0022-2496/86/90032-5</w:t>
        </w:r>
      </w:hyperlink>
      <w:r>
        <w:t xml:space="preserve">.</w:t>
      </w:r>
    </w:p>
    <w:bookmarkEnd w:id="98"/>
    <w:bookmarkStart w:id="100" w:name="ref-doignon:fischer"/>
    <w:p>
      <w:pPr>
        <w:pStyle w:val="Bibliography"/>
      </w:pPr>
      <w:r>
        <w:t xml:space="preserve">Doignon, Jean-Paul. 1994.</w:t>
      </w:r>
      <w:r>
        <w:t xml:space="preserve"> </w:t>
      </w:r>
      <w:r>
        <w:t xml:space="preserve">“Knowledge Spaces and Skill Assignments.”</w:t>
      </w:r>
      <w:r>
        <w:t xml:space="preserve"> </w:t>
      </w:r>
      <w:r>
        <w:t xml:space="preserve">In</w:t>
      </w:r>
      <w:r>
        <w:t xml:space="preserve"> </w:t>
      </w:r>
      <w:r>
        <w:rPr>
          <w:i/>
          <w:iCs/>
        </w:rPr>
        <w:t xml:space="preserve">Contributions to Mathematical Psychology, Psychometrics, and Methodology</w:t>
      </w:r>
      <w:r>
        <w:t xml:space="preserve">, edited by Gerhard H. Fischer and Donald Laming. Springer–</w:t>
      </w:r>
      <w:r>
        <w:t xml:space="preserve">V</w:t>
      </w:r>
      <w:r>
        <w:t xml:space="preserve">erlag.</w:t>
      </w:r>
      <w:r>
        <w:t xml:space="preserve"> </w:t>
      </w:r>
      <w:hyperlink r:id="rId99">
        <w:r>
          <w:rPr>
            <w:rStyle w:val="Hyperlink"/>
          </w:rPr>
          <w:t xml:space="preserve">https://doi.org/10.1007/978-1-4612-4308-3_8</w:t>
        </w:r>
      </w:hyperlink>
      <w:r>
        <w:t xml:space="preserve">.</w:t>
      </w:r>
    </w:p>
    <w:bookmarkEnd w:id="100"/>
    <w:bookmarkStart w:id="102" w:name="ref-doignon:85"/>
    <w:p>
      <w:pPr>
        <w:pStyle w:val="Bibliography"/>
      </w:pPr>
      <w:r>
        <w:t xml:space="preserve">Doignon, Jean-Paul, and Jean-Claude Falmagne. 1985.</w:t>
      </w:r>
      <w:r>
        <w:t xml:space="preserve"> </w:t>
      </w:r>
      <w:r>
        <w:t xml:space="preserve">“Spaces for the Assessment of Knowledge.”</w:t>
      </w:r>
      <w:r>
        <w:t xml:space="preserve"> </w:t>
      </w:r>
      <w:r>
        <w:rPr>
          <w:i/>
          <w:iCs/>
        </w:rPr>
        <w:t xml:space="preserve">International Journal of Man-Machine Studies</w:t>
      </w:r>
      <w:r>
        <w:t xml:space="preserve"> </w:t>
      </w:r>
      <w:r>
        <w:t xml:space="preserve">23: 175–96.</w:t>
      </w:r>
      <w:r>
        <w:t xml:space="preserve"> </w:t>
      </w:r>
      <w:hyperlink r:id="rId101">
        <w:r>
          <w:rPr>
            <w:rStyle w:val="Hyperlink"/>
          </w:rPr>
          <w:t xml:space="preserve">https://doi.org/10.1016/50020-7373(85)80031-6</w:t>
        </w:r>
      </w:hyperlink>
      <w:r>
        <w:t xml:space="preserve">.</w:t>
      </w:r>
    </w:p>
    <w:bookmarkEnd w:id="102"/>
    <w:bookmarkStart w:id="104" w:name="ref-doignon:b99"/>
    <w:p>
      <w:pPr>
        <w:pStyle w:val="Bibliography"/>
      </w:pPr>
      <w:r>
        <w:t xml:space="preserve">Doignon, Jean-Paul, and Jean-Claude Falmagne. 1999.</w:t>
      </w:r>
      <w:r>
        <w:t xml:space="preserve"> </w:t>
      </w:r>
      <w:r>
        <w:rPr>
          <w:i/>
          <w:iCs/>
        </w:rPr>
        <w:t xml:space="preserve">Knowledge Spaces</w:t>
      </w:r>
      <w:r>
        <w:t xml:space="preserve">. Springer–Verlag.</w:t>
      </w:r>
      <w:r>
        <w:t xml:space="preserve"> </w:t>
      </w:r>
      <w:hyperlink r:id="rId103">
        <w:r>
          <w:rPr>
            <w:rStyle w:val="Hyperlink"/>
          </w:rPr>
          <w:t xml:space="preserve">https://doi.org/10.1007/978-3-642-58625-5</w:t>
        </w:r>
      </w:hyperlink>
      <w:r>
        <w:t xml:space="preserve">.</w:t>
      </w:r>
    </w:p>
    <w:bookmarkEnd w:id="104"/>
    <w:bookmarkStart w:id="106" w:name="ref-dowling:93a"/>
    <w:p>
      <w:pPr>
        <w:pStyle w:val="Bibliography"/>
      </w:pPr>
      <w:r>
        <w:t xml:space="preserve">Dowling, Cornelia E. 1993.</w:t>
      </w:r>
      <w:r>
        <w:t xml:space="preserve"> </w:t>
      </w:r>
      <w:r>
        <w:t xml:space="preserve">“Applying the Basis of a Knowledge Space for Controlling the Questioning of an Expert.”</w:t>
      </w:r>
      <w:r>
        <w:t xml:space="preserve"> </w:t>
      </w:r>
      <w:r>
        <w:rPr>
          <w:i/>
          <w:iCs/>
        </w:rPr>
        <w:t xml:space="preserve">Journal of Mathematical Psychology</w:t>
      </w:r>
      <w:r>
        <w:t xml:space="preserve"> </w:t>
      </w:r>
      <w:r>
        <w:t xml:space="preserve">37: 21–48.</w:t>
      </w:r>
      <w:r>
        <w:t xml:space="preserve"> </w:t>
      </w:r>
      <w:hyperlink r:id="rId105">
        <w:r>
          <w:rPr>
            <w:rStyle w:val="Hyperlink"/>
          </w:rPr>
          <w:t xml:space="preserve">https://doi.org/10.1006/jmps.1993.1002</w:t>
        </w:r>
      </w:hyperlink>
      <w:r>
        <w:t xml:space="preserve">.</w:t>
      </w:r>
    </w:p>
    <w:bookmarkEnd w:id="106"/>
    <w:bookmarkStart w:id="108" w:name="ref-dowling:01"/>
    <w:p>
      <w:pPr>
        <w:pStyle w:val="Bibliography"/>
      </w:pPr>
      <w:r>
        <w:t xml:space="preserve">Dowling, Cornelia E., and Cord Hockemeyer. 2001.</w:t>
      </w:r>
      <w:r>
        <w:t xml:space="preserve"> </w:t>
      </w:r>
      <w:r>
        <w:t xml:space="preserve">“Automata for the Assessment of Knowledge.”</w:t>
      </w:r>
      <w:r>
        <w:t xml:space="preserve"> </w:t>
      </w:r>
      <w:r>
        <w:rPr>
          <w:i/>
          <w:iCs/>
        </w:rPr>
        <w:t xml:space="preserve">IEEE Transactions on Knowledge and Data Engineering</w:t>
      </w:r>
      <w:r>
        <w:t xml:space="preserve"> </w:t>
      </w:r>
      <w:r>
        <w:t xml:space="preserve">13 (3): 451–61.</w:t>
      </w:r>
      <w:r>
        <w:t xml:space="preserve"> </w:t>
      </w:r>
      <w:hyperlink r:id="rId107">
        <w:r>
          <w:rPr>
            <w:rStyle w:val="Hyperlink"/>
          </w:rPr>
          <w:t xml:space="preserve">https://doi.org/10.1109/69.929902</w:t>
        </w:r>
      </w:hyperlink>
      <w:r>
        <w:t xml:space="preserve">.</w:t>
      </w:r>
    </w:p>
    <w:bookmarkEnd w:id="108"/>
    <w:bookmarkStart w:id="110" w:name="ref-duentsch:95"/>
    <w:p>
      <w:pPr>
        <w:pStyle w:val="Bibliography"/>
      </w:pPr>
      <w:r>
        <w:t xml:space="preserve">Düntsch, Ivo, and Günther Gediga. 1995.</w:t>
      </w:r>
      <w:r>
        <w:t xml:space="preserve"> </w:t>
      </w:r>
      <w:r>
        <w:t xml:space="preserve">“Skills and Knowledge Structures.”</w:t>
      </w:r>
      <w:r>
        <w:t xml:space="preserve"> </w:t>
      </w:r>
      <w:r>
        <w:rPr>
          <w:i/>
          <w:iCs/>
        </w:rPr>
        <w:t xml:space="preserve">British Journal of Mathematical and Statistical Psychology</w:t>
      </w:r>
      <w:r>
        <w:t xml:space="preserve"> </w:t>
      </w:r>
      <w:r>
        <w:t xml:space="preserve">48: 9–27.</w:t>
      </w:r>
      <w:r>
        <w:t xml:space="preserve"> </w:t>
      </w:r>
      <w:hyperlink r:id="rId109">
        <w:r>
          <w:rPr>
            <w:rStyle w:val="Hyperlink"/>
          </w:rPr>
          <w:t xml:space="preserve">https://doi.org/10.1111/j2044-8317.1995.tb01047.x</w:t>
        </w:r>
      </w:hyperlink>
      <w:r>
        <w:t xml:space="preserve">.</w:t>
      </w:r>
    </w:p>
    <w:bookmarkEnd w:id="110"/>
    <w:bookmarkStart w:id="112" w:name="ref-falmagne:88a"/>
    <w:p>
      <w:pPr>
        <w:pStyle w:val="Bibliography"/>
      </w:pPr>
      <w:r>
        <w:t xml:space="preserve">Falmagne, Jean-Claude, and Jean-Paul Doignon. 1988a.</w:t>
      </w:r>
      <w:r>
        <w:t xml:space="preserve"> </w:t>
      </w:r>
      <w:r>
        <w:t xml:space="preserve">“A Class of Stochastic Procedures for the Assessment of Knowledge.”</w:t>
      </w:r>
      <w:r>
        <w:t xml:space="preserve"> </w:t>
      </w:r>
      <w:r>
        <w:rPr>
          <w:i/>
          <w:iCs/>
        </w:rPr>
        <w:t xml:space="preserve">British Journal of Mathematical and Statistical Psychology</w:t>
      </w:r>
      <w:r>
        <w:t xml:space="preserve"> </w:t>
      </w:r>
      <w:r>
        <w:t xml:space="preserve">41: 1–23.</w:t>
      </w:r>
      <w:r>
        <w:t xml:space="preserve"> </w:t>
      </w:r>
      <w:hyperlink r:id="rId111">
        <w:r>
          <w:rPr>
            <w:rStyle w:val="Hyperlink"/>
          </w:rPr>
          <w:t xml:space="preserve">https://doi.org/10.1111/2044-8317.1988.tb00884.x</w:t>
        </w:r>
      </w:hyperlink>
      <w:r>
        <w:t xml:space="preserve">.</w:t>
      </w:r>
    </w:p>
    <w:bookmarkEnd w:id="112"/>
    <w:bookmarkStart w:id="114" w:name="ref-falmagne:88b"/>
    <w:p>
      <w:pPr>
        <w:pStyle w:val="Bibliography"/>
      </w:pPr>
      <w:r>
        <w:t xml:space="preserve">Falmagne, Jean-Claude, and Jean-Paul Doignon. 1988b.</w:t>
      </w:r>
      <w:r>
        <w:t xml:space="preserve"> </w:t>
      </w:r>
      <w:r>
        <w:t xml:space="preserve">“A</w:t>
      </w:r>
      <w:r>
        <w:t xml:space="preserve"> </w:t>
      </w:r>
      <w:r>
        <w:t xml:space="preserve">M</w:t>
      </w:r>
      <w:r>
        <w:t xml:space="preserve">arkovian Procedure for Assessing the State of a System.”</w:t>
      </w:r>
      <w:r>
        <w:t xml:space="preserve"> </w:t>
      </w:r>
      <w:r>
        <w:rPr>
          <w:i/>
          <w:iCs/>
        </w:rPr>
        <w:t xml:space="preserve">Journal of Mathematical Psychology</w:t>
      </w:r>
      <w:r>
        <w:t xml:space="preserve"> </w:t>
      </w:r>
      <w:r>
        <w:t xml:space="preserve">32: 232–58.</w:t>
      </w:r>
      <w:r>
        <w:t xml:space="preserve"> </w:t>
      </w:r>
      <w:hyperlink r:id="rId113">
        <w:r>
          <w:rPr>
            <w:rStyle w:val="Hyperlink"/>
          </w:rPr>
          <w:t xml:space="preserve">https://doi.org/10.1016/0022-2496(88)90011-9</w:t>
        </w:r>
      </w:hyperlink>
      <w:r>
        <w:t xml:space="preserve">.</w:t>
      </w:r>
    </w:p>
    <w:bookmarkEnd w:id="114"/>
    <w:bookmarkStart w:id="115" w:name="ref-falmagne:dowling"/>
    <w:p>
      <w:pPr>
        <w:pStyle w:val="Bibliography"/>
      </w:pPr>
      <w:r>
        <w:t xml:space="preserve">Falmagne, Jean-Claude, and Jean-Paul Doignon. 1998.</w:t>
      </w:r>
      <w:r>
        <w:t xml:space="preserve"> </w:t>
      </w:r>
      <w:r>
        <w:t xml:space="preserve">“Meshing Knowledge Structures.”</w:t>
      </w:r>
      <w:r>
        <w:t xml:space="preserve"> </w:t>
      </w:r>
      <w:r>
        <w:t xml:space="preserve">In</w:t>
      </w:r>
      <w:r>
        <w:t xml:space="preserve"> </w:t>
      </w:r>
      <w:r>
        <w:rPr>
          <w:i/>
          <w:iCs/>
        </w:rPr>
        <w:t xml:space="preserve">Recent Progress in Mathematical Psychology</w:t>
      </w:r>
      <w:r>
        <w:t xml:space="preserve">, edited by Cornelia E. Dowling, Fred S. Roberts, and Peter Theuns. Scientific Psychology Series.</w:t>
      </w:r>
      <w:r>
        <w:t xml:space="preserve"> </w:t>
      </w:r>
      <w:r>
        <w:t xml:space="preserve">Lawrence Erlbaum Associates Ltd.</w:t>
      </w:r>
    </w:p>
    <w:bookmarkEnd w:id="115"/>
    <w:bookmarkStart w:id="117" w:name="ref-heller:b24"/>
    <w:p>
      <w:pPr>
        <w:pStyle w:val="Bibliography"/>
      </w:pPr>
      <w:r>
        <w:t xml:space="preserve">Heller, Jürgen, and Luca Stefanutti, eds. 2024.</w:t>
      </w:r>
      <w:r>
        <w:t xml:space="preserve"> </w:t>
      </w:r>
      <w:r>
        <w:rPr>
          <w:i/>
          <w:iCs/>
        </w:rPr>
        <w:t xml:space="preserve">Knowledge Structures: Recent Developments in Theory and Application</w:t>
      </w:r>
      <w:r>
        <w:t xml:space="preserve">. Vol. 7. Advanced Series on Mathematical Psychology. World Scientific.</w:t>
      </w:r>
      <w:r>
        <w:t xml:space="preserve"> </w:t>
      </w:r>
      <w:hyperlink r:id="rId116">
        <w:r>
          <w:rPr>
            <w:rStyle w:val="Hyperlink"/>
          </w:rPr>
          <w:t xml:space="preserve">https://doi.org/10.1142/13519</w:t>
        </w:r>
      </w:hyperlink>
      <w:r>
        <w:t xml:space="preserve">.</w:t>
      </w:r>
    </w:p>
    <w:bookmarkEnd w:id="117"/>
    <w:bookmarkStart w:id="119" w:name="ref-heller:13"/>
    <w:p>
      <w:pPr>
        <w:pStyle w:val="Bibliography"/>
      </w:pPr>
      <w:r>
        <w:t xml:space="preserve">Heller, Jürgen, and Florian Wickelmaier. 2013.</w:t>
      </w:r>
      <w:r>
        <w:t xml:space="preserve"> </w:t>
      </w:r>
      <w:r>
        <w:t xml:space="preserve">“Minimum Discrepancy Estimation in Probabilistic Knowledge Structures.”</w:t>
      </w:r>
      <w:r>
        <w:t xml:space="preserve"> </w:t>
      </w:r>
      <w:r>
        <w:rPr>
          <w:i/>
          <w:iCs/>
        </w:rPr>
        <w:t xml:space="preserve">Electronic Notes in Discrete Mathematics</w:t>
      </w:r>
      <w:r>
        <w:t xml:space="preserve"> </w:t>
      </w:r>
      <w:r>
        <w:t xml:space="preserve">42: 49–56.</w:t>
      </w:r>
      <w:r>
        <w:t xml:space="preserve"> </w:t>
      </w:r>
      <w:hyperlink r:id="rId118">
        <w:r>
          <w:rPr>
            <w:rStyle w:val="Hyperlink"/>
          </w:rPr>
          <w:t xml:space="preserve">https://doi.org/10.1016/j.endm.2013.05.145</w:t>
        </w:r>
      </w:hyperlink>
      <w:r>
        <w:t xml:space="preserve">.</w:t>
      </w:r>
    </w:p>
    <w:bookmarkEnd w:id="119"/>
    <w:bookmarkStart w:id="120" w:name="ref-hockemeyer:02"/>
    <w:p>
      <w:pPr>
        <w:pStyle w:val="Bibliography"/>
      </w:pPr>
      <w:r>
        <w:t xml:space="preserve">Hockemeyer, Cord. 2002.</w:t>
      </w:r>
      <w:r>
        <w:t xml:space="preserve"> </w:t>
      </w:r>
      <w:r>
        <w:t xml:space="preserve">“A Comparison of Non–Deterministic Procedures for the Adaptive Assessment of Knowledge.”</w:t>
      </w:r>
      <w:r>
        <w:t xml:space="preserve"> </w:t>
      </w:r>
      <w:r>
        <w:rPr>
          <w:i/>
          <w:iCs/>
        </w:rPr>
        <w:t xml:space="preserve">Psychologische Beitr</w:t>
      </w:r>
      <w:r>
        <w:rPr>
          <w:i/>
          <w:iCs/>
        </w:rPr>
        <w:t xml:space="preserve">ä</w:t>
      </w:r>
      <w:r>
        <w:rPr>
          <w:i/>
          <w:iCs/>
        </w:rPr>
        <w:t xml:space="preserve">ge</w:t>
      </w:r>
      <w:r>
        <w:t xml:space="preserve"> </w:t>
      </w:r>
      <w:r>
        <w:t xml:space="preserve">44: 495–503.</w:t>
      </w:r>
    </w:p>
    <w:bookmarkEnd w:id="120"/>
    <w:bookmarkStart w:id="122" w:name="ref-hockemeyer:cbkst"/>
    <w:p>
      <w:pPr>
        <w:pStyle w:val="Bibliography"/>
      </w:pPr>
      <w:r>
        <w:t xml:space="preserve">Hockemeyer, Cord. 2026a.</w:t>
      </w:r>
      <w:r>
        <w:t xml:space="preserve"> </w:t>
      </w:r>
      <w:r>
        <w:rPr>
          <w:i/>
          <w:iCs/>
        </w:rPr>
        <w:t xml:space="preserve">CbKST</w:t>
      </w:r>
      <w:r>
        <w:rPr>
          <w:i/>
          <w:iCs/>
        </w:rPr>
        <w:t xml:space="preserve">: Functions for Competence–Based Knowledge Space Theory</w:t>
      </w:r>
      <w:r>
        <w:t xml:space="preserve">. Department of Psychology, University of Graz, Austria.</w:t>
      </w:r>
      <w:r>
        <w:t xml:space="preserve"> </w:t>
      </w:r>
      <w:hyperlink r:id="rId121">
        <w:r>
          <w:rPr>
            <w:rStyle w:val="Hyperlink"/>
          </w:rPr>
          <w:t xml:space="preserve">https://doi.org/10.32614/CRAN.package.CbKST</w:t>
        </w:r>
      </w:hyperlink>
      <w:r>
        <w:t xml:space="preserve">.</w:t>
      </w:r>
    </w:p>
    <w:bookmarkEnd w:id="122"/>
    <w:bookmarkStart w:id="124" w:name="ref-hockemeyer:cdss"/>
    <w:p>
      <w:pPr>
        <w:pStyle w:val="Bibliography"/>
      </w:pPr>
      <w:r>
        <w:t xml:space="preserve">Hockemeyer, Cord. 2026b.</w:t>
      </w:r>
      <w:r>
        <w:t xml:space="preserve"> </w:t>
      </w:r>
      <w:r>
        <w:rPr>
          <w:i/>
          <w:iCs/>
        </w:rPr>
        <w:t xml:space="preserve">CDSS</w:t>
      </w:r>
      <w:r>
        <w:rPr>
          <w:i/>
          <w:iCs/>
        </w:rPr>
        <w:t xml:space="preserve">: Course–Dependent Skill Structures</w:t>
      </w:r>
      <w:r>
        <w:t xml:space="preserve">. Department of Psychology, University of Graz, Austria.</w:t>
      </w:r>
      <w:r>
        <w:t xml:space="preserve"> </w:t>
      </w:r>
      <w:hyperlink r:id="rId123">
        <w:r>
          <w:rPr>
            <w:rStyle w:val="Hyperlink"/>
          </w:rPr>
          <w:t xml:space="preserve">https://doi.org/10.32614/CRAN.package.CDSS</w:t>
        </w:r>
      </w:hyperlink>
      <w:r>
        <w:t xml:space="preserve">.</w:t>
      </w:r>
    </w:p>
    <w:bookmarkEnd w:id="124"/>
    <w:bookmarkStart w:id="126" w:name="ref-hockemeyer:kstmatrix"/>
    <w:p>
      <w:pPr>
        <w:pStyle w:val="Bibliography"/>
      </w:pPr>
      <w:r>
        <w:t xml:space="preserve">Hockemeyer, Cord, Peter Steiner, and Wai Wong. 2026.</w:t>
      </w:r>
      <w:r>
        <w:t xml:space="preserve"> </w:t>
      </w:r>
      <w:r>
        <w:rPr>
          <w:i/>
          <w:iCs/>
        </w:rPr>
        <w:t xml:space="preserve">Kst</w:t>
      </w:r>
      <w:r>
        <w:rPr>
          <w:i/>
          <w:iCs/>
        </w:rPr>
        <w:t xml:space="preserve">M</w:t>
      </w:r>
      <w:r>
        <w:rPr>
          <w:i/>
          <w:iCs/>
        </w:rPr>
        <w:t xml:space="preserve">atrix: Basic Functions in Knowledge Space Theory Using Matrix Representations</w:t>
      </w:r>
      <w:r>
        <w:t xml:space="preserve">. Department of Psychology, University of Graz, Austria.</w:t>
      </w:r>
      <w:r>
        <w:t xml:space="preserve"> </w:t>
      </w:r>
      <w:hyperlink r:id="rId125">
        <w:r>
          <w:rPr>
            <w:rStyle w:val="Hyperlink"/>
          </w:rPr>
          <w:t xml:space="preserve">https://doi.org/10.32614/CRAN.package.kstMatrix</w:t>
        </w:r>
      </w:hyperlink>
      <w:r>
        <w:t xml:space="preserve">.</w:t>
      </w:r>
    </w:p>
    <w:bookmarkEnd w:id="126"/>
    <w:bookmarkStart w:id="127" w:name="ref-korossy:97"/>
    <w:p>
      <w:pPr>
        <w:pStyle w:val="Bibliography"/>
      </w:pPr>
      <w:r>
        <w:t xml:space="preserve">Korossy, Klaus. 1997.</w:t>
      </w:r>
      <w:r>
        <w:t xml:space="preserve"> </w:t>
      </w:r>
      <w:r>
        <w:t xml:space="preserve">“Extending the Theory of Knowledge Spaces: A Competence–Performance Approach.”</w:t>
      </w:r>
      <w:r>
        <w:t xml:space="preserve"> </w:t>
      </w:r>
      <w:r>
        <w:rPr>
          <w:i/>
          <w:iCs/>
        </w:rPr>
        <w:t xml:space="preserve">Zeitschrift f</w:t>
      </w:r>
      <w:r>
        <w:rPr>
          <w:i/>
          <w:iCs/>
        </w:rPr>
        <w:t xml:space="preserve">ü</w:t>
      </w:r>
      <w:r>
        <w:rPr>
          <w:i/>
          <w:iCs/>
        </w:rPr>
        <w:t xml:space="preserve">r Psychologie</w:t>
      </w:r>
      <w:r>
        <w:t xml:space="preserve"> </w:t>
      </w:r>
      <w:r>
        <w:t xml:space="preserve">205: 53–82.</w:t>
      </w:r>
    </w:p>
    <w:bookmarkEnd w:id="127"/>
    <w:bookmarkStart w:id="129" w:name="ref-mollenhauer:pkscpp"/>
    <w:p>
      <w:pPr>
        <w:pStyle w:val="Bibliography"/>
      </w:pPr>
      <w:r>
        <w:t xml:space="preserve">Mollenhauer, Julian. 2025.</w:t>
      </w:r>
      <w:r>
        <w:t xml:space="preserve"> </w:t>
      </w:r>
      <w:r>
        <w:rPr>
          <w:i/>
          <w:iCs/>
        </w:rPr>
        <w:t xml:space="preserve">Pks</w:t>
      </w:r>
      <w:r>
        <w:rPr>
          <w:i/>
          <w:iCs/>
        </w:rPr>
        <w:t xml:space="preserve">C</w:t>
      </w:r>
      <w:r>
        <w:rPr>
          <w:i/>
          <w:iCs/>
        </w:rPr>
        <w:t xml:space="preserve">pp: Probabilistic Knowledge Structures — Additional Models and Functions</w:t>
      </w:r>
      <w:r>
        <w:t xml:space="preserve">. University of Tübingen, Germany.</w:t>
      </w:r>
      <w:r>
        <w:t xml:space="preserve"> </w:t>
      </w:r>
      <w:hyperlink r:id="rId128">
        <w:r>
          <w:rPr>
            <w:rStyle w:val="Hyperlink"/>
          </w:rPr>
          <w:t xml:space="preserve">https://github.com/jujupsy/pksCpp/</w:t>
        </w:r>
      </w:hyperlink>
      <w:r>
        <w:t xml:space="preserve">.</w:t>
      </w:r>
    </w:p>
    <w:bookmarkEnd w:id="129"/>
    <w:bookmarkStart w:id="131" w:name="ref-sargin:daks"/>
    <w:p>
      <w:pPr>
        <w:pStyle w:val="Bibliography"/>
      </w:pPr>
      <w:r>
        <w:t xml:space="preserve">Sargin, Anatol, and Ali Ünlü. 2016.</w:t>
      </w:r>
      <w:r>
        <w:t xml:space="preserve"> </w:t>
      </w:r>
      <w:r>
        <w:rPr>
          <w:i/>
          <w:iCs/>
        </w:rPr>
        <w:t xml:space="preserve">DAKS</w:t>
      </w:r>
      <w:r>
        <w:rPr>
          <w:i/>
          <w:iCs/>
        </w:rPr>
        <w:t xml:space="preserve">: Data Analysis and Knowledge Spaces</w:t>
      </w:r>
      <w:r>
        <w:t xml:space="preserve">. Comprehensive R Archive Network.</w:t>
      </w:r>
      <w:r>
        <w:t xml:space="preserve"> </w:t>
      </w:r>
      <w:hyperlink r:id="rId130">
        <w:r>
          <w:rPr>
            <w:rStyle w:val="Hyperlink"/>
          </w:rPr>
          <w:t xml:space="preserve">https://doi.org/10.32614/CRAN.package.DAKS</w:t>
        </w:r>
      </w:hyperlink>
      <w:r>
        <w:t xml:space="preserve">.</w:t>
      </w:r>
    </w:p>
    <w:bookmarkEnd w:id="131"/>
    <w:bookmarkStart w:id="132" w:name="ref-schreppb:alb99"/>
    <w:p>
      <w:pPr>
        <w:pStyle w:val="Bibliography"/>
      </w:pPr>
      <w:r>
        <w:t xml:space="preserve">Schrepp, Martin, Theo Held, and Dietrich Albert. 1999.</w:t>
      </w:r>
      <w:r>
        <w:t xml:space="preserve"> </w:t>
      </w:r>
      <w:r>
        <w:t xml:space="preserve">“Component–Based Construction of Surmise Relations for Chess Problems.”</w:t>
      </w:r>
      <w:r>
        <w:t xml:space="preserve"> </w:t>
      </w:r>
      <w:r>
        <w:t xml:space="preserve">In</w:t>
      </w:r>
      <w:r>
        <w:t xml:space="preserve"> </w:t>
      </w:r>
      <w:r>
        <w:rPr>
          <w:i/>
          <w:iCs/>
        </w:rPr>
        <w:t xml:space="preserve">Knowledge Spaces: Theories, Empirical Research, Applications</w:t>
      </w:r>
      <w:r>
        <w:t xml:space="preserve">, edited by Dietrich Albert and Josef Lukas. Lawrence Erlbaum Associates.</w:t>
      </w:r>
      <w:r>
        <w:t xml:space="preserve"> </w:t>
      </w:r>
      <w:hyperlink r:id="rId85">
        <w:r>
          <w:rPr>
            <w:rStyle w:val="Hyperlink"/>
          </w:rPr>
          <w:t xml:space="preserve">https://doi.org/10.4324/9781410602077</w:t>
        </w:r>
      </w:hyperlink>
      <w:r>
        <w:t xml:space="preserve">.</w:t>
      </w:r>
    </w:p>
    <w:bookmarkEnd w:id="132"/>
    <w:bookmarkStart w:id="133" w:name="ref-stahl:diss"/>
    <w:p>
      <w:pPr>
        <w:pStyle w:val="Bibliography"/>
      </w:pPr>
      <w:r>
        <w:t xml:space="preserve">Stahl, Christina. 2008.</w:t>
      </w:r>
      <w:r>
        <w:t xml:space="preserve"> </w:t>
      </w:r>
      <w:r>
        <w:t xml:space="preserve">“Developing a Framework for Competence Assessment.”</w:t>
      </w:r>
      <w:r>
        <w:t xml:space="preserve"> </w:t>
      </w:r>
      <w:r>
        <w:t xml:space="preserve">Unpublished Dissertation, Vienna University of Economics; Business.</w:t>
      </w:r>
    </w:p>
    <w:bookmarkEnd w:id="133"/>
    <w:bookmarkStart w:id="135" w:name="ref-stahl:kst"/>
    <w:p>
      <w:pPr>
        <w:pStyle w:val="Bibliography"/>
      </w:pPr>
      <w:r>
        <w:t xml:space="preserve">Stahl, Christina, David Meyer, and Cord Hockemeyer. 2026.</w:t>
      </w:r>
      <w:r>
        <w:t xml:space="preserve"> </w:t>
      </w:r>
      <w:r>
        <w:rPr>
          <w:i/>
          <w:iCs/>
        </w:rPr>
        <w:t xml:space="preserve">Kst: Knowledge Space Theory</w:t>
      </w:r>
      <w:r>
        <w:t xml:space="preserve">. Department of Psychology, University of Graz, Austria.</w:t>
      </w:r>
      <w:r>
        <w:t xml:space="preserve"> </w:t>
      </w:r>
      <w:hyperlink r:id="rId134">
        <w:r>
          <w:rPr>
            <w:rStyle w:val="Hyperlink"/>
          </w:rPr>
          <w:t xml:space="preserve">https://doi.org/10.32614/CRAN.package.kst</w:t>
        </w:r>
      </w:hyperlink>
      <w:r>
        <w:t xml:space="preserve">.</w:t>
      </w:r>
    </w:p>
    <w:bookmarkEnd w:id="135"/>
    <w:bookmarkStart w:id="137" w:name="ref-stefanutti:17"/>
    <w:p>
      <w:pPr>
        <w:pStyle w:val="Bibliography"/>
      </w:pPr>
      <w:r>
        <w:t xml:space="preserve">Stefanutti, Luca, and Debora de Chiusole. 2017.</w:t>
      </w:r>
      <w:r>
        <w:t xml:space="preserve"> </w:t>
      </w:r>
      <w:r>
        <w:t xml:space="preserve">“On the Assessment of Learning in Competence Based Knowledge Space Theory.”</w:t>
      </w:r>
      <w:r>
        <w:t xml:space="preserve"> </w:t>
      </w:r>
      <w:r>
        <w:rPr>
          <w:i/>
          <w:iCs/>
        </w:rPr>
        <w:t xml:space="preserve">Journal of Mathematical Psychology</w:t>
      </w:r>
      <w:r>
        <w:t xml:space="preserve"> </w:t>
      </w:r>
      <w:r>
        <w:t xml:space="preserve">80: 22–32.</w:t>
      </w:r>
      <w:r>
        <w:t xml:space="preserve"> </w:t>
      </w:r>
      <w:hyperlink r:id="rId136">
        <w:r>
          <w:rPr>
            <w:rStyle w:val="Hyperlink"/>
          </w:rPr>
          <w:t xml:space="preserve">https://doi.org/10.1016/j.j,p.2017.008.003</w:t>
        </w:r>
      </w:hyperlink>
      <w:r>
        <w:t xml:space="preserve">.</w:t>
      </w:r>
    </w:p>
    <w:bookmarkEnd w:id="137"/>
    <w:bookmarkStart w:id="139" w:name="ref-steiner:wilson"/>
    <w:p>
      <w:pPr>
        <w:pStyle w:val="Bibliography"/>
      </w:pPr>
      <w:r>
        <w:t xml:space="preserve">Steiner, Peter, Cord Hockemeyer, Miachael Kickmeier–Rust, and Jan Hochweber. in press.</w:t>
      </w:r>
      <w:r>
        <w:t xml:space="preserve"> </w:t>
      </w:r>
      <w:r>
        <w:t xml:space="preserve">“Structuring and Assessing Knowledge with Knowledge Space Theory.”</w:t>
      </w:r>
      <w:r>
        <w:t xml:space="preserve"> </w:t>
      </w:r>
      <w:r>
        <w:t xml:space="preserve">In</w:t>
      </w:r>
      <w:r>
        <w:t xml:space="preserve"> </w:t>
      </w:r>
      <w:r>
        <w:rPr>
          <w:i/>
          <w:iCs/>
        </w:rPr>
        <w:t xml:space="preserve">Quantitative Methods in Educational Research:: Concepts and Applications</w:t>
      </w:r>
      <w:r>
        <w:t xml:space="preserve">, edited by M. L. Wilson, A. A. Tawfik, A. D. Ritzhaupt, and A. T. Lowdermilk. EdTech Books.</w:t>
      </w:r>
      <w:r>
        <w:t xml:space="preserve"> </w:t>
      </w:r>
      <w:hyperlink r:id="rId138">
        <w:r>
          <w:rPr>
            <w:rStyle w:val="Hyperlink"/>
          </w:rPr>
          <w:t xml:space="preserve">https://edtechbooks.org/qmerca/knowledgespacetheory</w:t>
        </w:r>
      </w:hyperlink>
      <w:r>
        <w:t xml:space="preserve">.</w:t>
      </w:r>
    </w:p>
    <w:bookmarkEnd w:id="139"/>
    <w:bookmarkStart w:id="141" w:name="ref-taagepera:97"/>
    <w:p>
      <w:pPr>
        <w:pStyle w:val="Bibliography"/>
      </w:pPr>
      <w:r>
        <w:t xml:space="preserve">Taagepera, Mare, Frank Potter, George E. Miller, and Kamakshi Lakshminarayan. 1997.</w:t>
      </w:r>
      <w:r>
        <w:t xml:space="preserve"> </w:t>
      </w:r>
      <w:r>
        <w:t xml:space="preserve">“Mapping Students’ Thinking Patterns by the Use of Knowledge Space Theory.”</w:t>
      </w:r>
      <w:r>
        <w:t xml:space="preserve"> </w:t>
      </w:r>
      <w:r>
        <w:rPr>
          <w:i/>
          <w:iCs/>
        </w:rPr>
        <w:t xml:space="preserve">International Journal of Science Education</w:t>
      </w:r>
      <w:r>
        <w:t xml:space="preserve"> </w:t>
      </w:r>
      <w:r>
        <w:t xml:space="preserve">19: 283–302.</w:t>
      </w:r>
      <w:r>
        <w:t xml:space="preserve"> </w:t>
      </w:r>
      <w:hyperlink r:id="rId140">
        <w:r>
          <w:rPr>
            <w:rStyle w:val="Hyperlink"/>
          </w:rPr>
          <w:t xml:space="preserve">https://doi.org/10.1080/0950069970190303</w:t>
        </w:r>
      </w:hyperlink>
      <w:r>
        <w:t xml:space="preserve">.</w:t>
      </w:r>
    </w:p>
    <w:bookmarkEnd w:id="141"/>
    <w:bookmarkStart w:id="143" w:name="ref-uenlue:10"/>
    <w:p>
      <w:pPr>
        <w:pStyle w:val="Bibliography"/>
      </w:pPr>
      <w:r>
        <w:t xml:space="preserve">Ünlü, Ali, and Anatol Sargin. 2010.</w:t>
      </w:r>
      <w:r>
        <w:t xml:space="preserve"> </w:t>
      </w:r>
      <w:r>
        <w:t xml:space="preserve">“</w:t>
      </w:r>
      <w:r>
        <w:t xml:space="preserve">D</w:t>
      </w:r>
      <w:r>
        <w:t xml:space="preserve">A</w:t>
      </w:r>
      <w:r>
        <w:t xml:space="preserve">K</w:t>
      </w:r>
      <w:r>
        <w:t xml:space="preserve">S</w:t>
      </w:r>
      <w:r>
        <w:t xml:space="preserve">: An</w:t>
      </w:r>
      <w:r>
        <w:t xml:space="preserve"> </w:t>
      </w:r>
      <w:r>
        <w:t xml:space="preserve">R</w:t>
      </w:r>
      <w:r>
        <w:t xml:space="preserve"> </w:t>
      </w:r>
      <w:r>
        <w:t xml:space="preserve">Package for Data Analysis Methods in Knowledge Space Theory.”</w:t>
      </w:r>
      <w:r>
        <w:t xml:space="preserve"> </w:t>
      </w:r>
      <w:r>
        <w:rPr>
          <w:i/>
          <w:iCs/>
        </w:rPr>
        <w:t xml:space="preserve">Journal of Statistical Software</w:t>
      </w:r>
      <w:r>
        <w:t xml:space="preserve"> </w:t>
      </w:r>
      <w:r>
        <w:t xml:space="preserve">37: 1–31.</w:t>
      </w:r>
      <w:r>
        <w:t xml:space="preserve"> </w:t>
      </w:r>
      <w:hyperlink r:id="rId142">
        <w:r>
          <w:rPr>
            <w:rStyle w:val="Hyperlink"/>
          </w:rPr>
          <w:t xml:space="preserve">https://doi.org/10.18637/jss.v037.i02</w:t>
        </w:r>
      </w:hyperlink>
      <w:r>
        <w:t xml:space="preserve">.</w:t>
      </w:r>
    </w:p>
    <w:bookmarkEnd w:id="143"/>
    <w:bookmarkStart w:id="145" w:name="ref-wickelmaier:pks"/>
    <w:p>
      <w:pPr>
        <w:pStyle w:val="Bibliography"/>
      </w:pPr>
      <w:r>
        <w:t xml:space="preserve">Wickelmaier, Florian, Jürgen Heller, Julian Mollenhauer, and Pasquale Anselmi. 2024.</w:t>
      </w:r>
      <w:r>
        <w:t xml:space="preserve"> </w:t>
      </w:r>
      <w:r>
        <w:rPr>
          <w:i/>
          <w:iCs/>
        </w:rPr>
        <w:t xml:space="preserve">Pks: Probabilistic Knowledge Structures</w:t>
      </w:r>
      <w:r>
        <w:t xml:space="preserve">. University of Tübingen, Germany.</w:t>
      </w:r>
      <w:r>
        <w:t xml:space="preserve"> </w:t>
      </w:r>
      <w:hyperlink r:id="rId144">
        <w:r>
          <w:rPr>
            <w:rStyle w:val="Hyperlink"/>
          </w:rPr>
          <w:t xml:space="preserve">https://doi.org/10.32614/CRAN.package.pks</w:t>
        </w:r>
      </w:hyperlink>
      <w:r>
        <w:t xml:space="preserve">.</w:t>
      </w:r>
    </w:p>
    <w:bookmarkEnd w:id="145"/>
    <w:bookmarkEnd w:id="146"/>
    <w:bookmarkEnd w:id="1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2a211c"/>
    </w:pPr>
  </w:style>
  <w:style w:type="character" w:customStyle="1" w:styleId="KeywordTok">
    <w:name w:val="KeywordTok"/>
    <w:basedOn w:val="VerbatimChar"/>
    <w:rPr>
      <w:b/>
      <w:color w:val="43a8ed"/>
      <w:shd w:val="clear" w:fill="2a211c"/>
    </w:rPr>
  </w:style>
  <w:style w:type="character" w:customStyle="1" w:styleId="DataTypeTok">
    <w:name w:val="DataTypeTok"/>
    <w:basedOn w:val="VerbatimChar"/>
    <w:rPr>
      <w:color w:val="bdae9d"/>
      <w:u/>
      <w:shd w:val="clear" w:fill="2a211c"/>
    </w:rPr>
  </w:style>
  <w:style w:type="character" w:customStyle="1" w:styleId="DecValTok">
    <w:name w:val="DecValTok"/>
    <w:basedOn w:val="VerbatimChar"/>
    <w:rPr>
      <w:color w:val="44aa43"/>
      <w:shd w:val="clear" w:fill="2a211c"/>
    </w:rPr>
  </w:style>
  <w:style w:type="character" w:customStyle="1" w:styleId="BaseNTok">
    <w:name w:val="BaseNTok"/>
    <w:basedOn w:val="VerbatimChar"/>
    <w:rPr>
      <w:color w:val="44aa43"/>
      <w:shd w:val="clear" w:fill="2a211c"/>
    </w:rPr>
  </w:style>
  <w:style w:type="character" w:customStyle="1" w:styleId="FloatTok">
    <w:name w:val="FloatTok"/>
    <w:basedOn w:val="VerbatimChar"/>
    <w:rPr>
      <w:color w:val="44aa43"/>
      <w:shd w:val="clear" w:fill="2a211c"/>
    </w:rPr>
  </w:style>
  <w:style w:type="character" w:customStyle="1" w:styleId="ConstantTok">
    <w:name w:val="ConstantTok"/>
    <w:basedOn w:val="VerbatimChar"/>
    <w:rPr>
      <w:color w:val="bdae9d"/>
      <w:shd w:val="clear" w:fill="2a211c"/>
    </w:rPr>
  </w:style>
  <w:style w:type="character" w:customStyle="1" w:styleId="CharTok">
    <w:name w:val="CharTok"/>
    <w:basedOn w:val="VerbatimChar"/>
    <w:rPr>
      <w:color w:val="049b0a"/>
      <w:shd w:val="clear" w:fill="2a211c"/>
    </w:rPr>
  </w:style>
  <w:style w:type="character" w:customStyle="1" w:styleId="SpecialCharTok">
    <w:name w:val="SpecialCharTok"/>
    <w:basedOn w:val="VerbatimChar"/>
    <w:rPr>
      <w:color w:val="049b0a"/>
      <w:shd w:val="clear" w:fill="2a211c"/>
    </w:rPr>
  </w:style>
  <w:style w:type="character" w:customStyle="1" w:styleId="StringTok">
    <w:name w:val="StringTok"/>
    <w:basedOn w:val="VerbatimChar"/>
    <w:rPr>
      <w:color w:val="049b0a"/>
      <w:shd w:val="clear" w:fill="2a211c"/>
    </w:rPr>
  </w:style>
  <w:style w:type="character" w:customStyle="1" w:styleId="VerbatimStringTok">
    <w:name w:val="VerbatimStringTok"/>
    <w:basedOn w:val="VerbatimChar"/>
    <w:rPr>
      <w:color w:val="049b0a"/>
      <w:shd w:val="clear" w:fill="2a211c"/>
    </w:rPr>
  </w:style>
  <w:style w:type="character" w:customStyle="1" w:styleId="SpecialStringTok">
    <w:name w:val="SpecialStringTok"/>
    <w:basedOn w:val="VerbatimChar"/>
    <w:rPr>
      <w:color w:val="049b0a"/>
      <w:shd w:val="clear" w:fill="2a211c"/>
    </w:rPr>
  </w:style>
  <w:style w:type="character" w:customStyle="1" w:styleId="ImportTok">
    <w:name w:val="ImportTok"/>
    <w:basedOn w:val="VerbatimChar"/>
    <w:rPr>
      <w:color w:val="bdae9d"/>
      <w:shd w:val="clear" w:fill="2a211c"/>
    </w:rPr>
  </w:style>
  <w:style w:type="character" w:customStyle="1" w:styleId="CommentTok">
    <w:name w:val="CommentTok"/>
    <w:basedOn w:val="VerbatimChar"/>
    <w:rPr>
      <w:b/>
      <w:i/>
      <w:color w:val="0066ff"/>
      <w:shd w:val="clear" w:fill="2a211c"/>
    </w:rPr>
  </w:style>
  <w:style w:type="character" w:customStyle="1" w:styleId="DocumentationTok">
    <w:name w:val="DocumentationTok"/>
    <w:basedOn w:val="VerbatimChar"/>
    <w:rPr>
      <w:i/>
      <w:color w:val="0066ff"/>
      <w:shd w:val="clear" w:fill="2a211c"/>
    </w:rPr>
  </w:style>
  <w:style w:type="character" w:customStyle="1" w:styleId="AnnotationTok">
    <w:name w:val="AnnotationTok"/>
    <w:basedOn w:val="VerbatimChar"/>
    <w:rPr>
      <w:b/>
      <w:i/>
      <w:color w:val="0066ff"/>
      <w:shd w:val="clear" w:fill="2a211c"/>
    </w:rPr>
  </w:style>
  <w:style w:type="character" w:customStyle="1" w:styleId="CommentVarTok">
    <w:name w:val="CommentVarTok"/>
    <w:basedOn w:val="VerbatimChar"/>
    <w:rPr>
      <w:color w:val="bdae9d"/>
      <w:shd w:val="clear" w:fill="2a211c"/>
    </w:rPr>
  </w:style>
  <w:style w:type="character" w:customStyle="1" w:styleId="OtherTok">
    <w:name w:val="OtherTok"/>
    <w:basedOn w:val="VerbatimChar"/>
    <w:rPr>
      <w:color w:val="bdae9d"/>
      <w:shd w:val="clear" w:fill="2a211c"/>
    </w:rPr>
  </w:style>
  <w:style w:type="character" w:customStyle="1" w:styleId="FunctionTok">
    <w:name w:val="FunctionTok"/>
    <w:basedOn w:val="VerbatimChar"/>
    <w:rPr>
      <w:b/>
      <w:color w:val="ff9358"/>
      <w:shd w:val="clear" w:fill="2a211c"/>
    </w:rPr>
  </w:style>
  <w:style w:type="character" w:customStyle="1" w:styleId="VariableTok">
    <w:name w:val="VariableTok"/>
    <w:basedOn w:val="VerbatimChar"/>
    <w:rPr>
      <w:color w:val="bdae9d"/>
      <w:shd w:val="clear" w:fill="2a211c"/>
    </w:rPr>
  </w:style>
  <w:style w:type="character" w:customStyle="1" w:styleId="ControlFlowTok">
    <w:name w:val="ControlFlowTok"/>
    <w:basedOn w:val="VerbatimChar"/>
    <w:rPr>
      <w:b/>
      <w:color w:val="43a8ed"/>
      <w:shd w:val="clear" w:fill="2a211c"/>
    </w:rPr>
  </w:style>
  <w:style w:type="character" w:customStyle="1" w:styleId="OperatorTok">
    <w:name w:val="OperatorTok"/>
    <w:basedOn w:val="VerbatimChar"/>
    <w:rPr>
      <w:color w:val="bdae9d"/>
      <w:shd w:val="clear" w:fill="2a211c"/>
    </w:rPr>
  </w:style>
  <w:style w:type="character" w:customStyle="1" w:styleId="BuiltInTok">
    <w:name w:val="BuiltInTok"/>
    <w:basedOn w:val="VerbatimChar"/>
    <w:rPr>
      <w:color w:val="bdae9d"/>
      <w:shd w:val="clear" w:fill="2a211c"/>
    </w:rPr>
  </w:style>
  <w:style w:type="character" w:customStyle="1" w:styleId="ExtensionTok">
    <w:name w:val="ExtensionTok"/>
    <w:basedOn w:val="VerbatimChar"/>
    <w:rPr>
      <w:color w:val="bdae9d"/>
      <w:shd w:val="clear" w:fill="2a211c"/>
    </w:rPr>
  </w:style>
  <w:style w:type="character" w:customStyle="1" w:styleId="PreprocessorTok">
    <w:name w:val="PreprocessorTok"/>
    <w:basedOn w:val="VerbatimChar"/>
    <w:rPr>
      <w:b/>
      <w:color w:val="bdae9d"/>
      <w:shd w:val="clear" w:fill="2a211c"/>
    </w:rPr>
  </w:style>
  <w:style w:type="character" w:customStyle="1" w:styleId="AttributeTok">
    <w:name w:val="AttributeTok"/>
    <w:basedOn w:val="VerbatimChar"/>
    <w:rPr>
      <w:color w:val="bdae9d"/>
      <w:shd w:val="clear" w:fill="2a211c"/>
    </w:rPr>
  </w:style>
  <w:style w:type="character" w:customStyle="1" w:styleId="RegionMarkerTok">
    <w:name w:val="RegionMarkerTok"/>
    <w:basedOn w:val="VerbatimChar"/>
    <w:rPr>
      <w:color w:val="bdae9d"/>
      <w:shd w:val="clear" w:fill="2a211c"/>
    </w:rPr>
  </w:style>
  <w:style w:type="character" w:customStyle="1" w:styleId="InformationTok">
    <w:name w:val="InformationTok"/>
    <w:basedOn w:val="VerbatimChar"/>
    <w:rPr>
      <w:b/>
      <w:i/>
      <w:color w:val="0066ff"/>
      <w:shd w:val="clear" w:fill="2a211c"/>
    </w:rPr>
  </w:style>
  <w:style w:type="character" w:customStyle="1" w:styleId="WarningTok">
    <w:name w:val="WarningTok"/>
    <w:basedOn w:val="VerbatimChar"/>
    <w:rPr>
      <w:b/>
      <w:color w:val="ffff00"/>
      <w:shd w:val="clear" w:fill="2a211c"/>
    </w:rPr>
  </w:style>
  <w:style w:type="character" w:customStyle="1" w:styleId="AlertTok">
    <w:name w:val="AlertTok"/>
    <w:basedOn w:val="VerbatimChar"/>
    <w:rPr>
      <w:color w:val="ffff00"/>
      <w:shd w:val="clear" w:fill="2a211c"/>
    </w:rPr>
  </w:style>
  <w:style w:type="character" w:customStyle="1" w:styleId="ErrorTok">
    <w:name w:val="ErrorTok"/>
    <w:basedOn w:val="VerbatimChar"/>
    <w:rPr>
      <w:b/>
      <w:color w:val="ffff00"/>
      <w:shd w:val="clear" w:fill="2a211c"/>
    </w:rPr>
  </w:style>
  <w:style w:type="character" w:customStyle="1" w:styleId="NormalTok">
    <w:name w:val="NormalTok"/>
    <w:basedOn w:val="VerbatimChar"/>
    <w:rPr>
      <w:color w:val="bdae9d"/>
      <w:shd w:val="clear" w:fill="2a211c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10" Target="media/rId10.png" /><Relationship Type="http://schemas.openxmlformats.org/officeDocument/2006/relationships/image" Id="rId70" Target="media/rId70.png" /><Relationship Type="http://schemas.openxmlformats.org/officeDocument/2006/relationships/image" Id="rId73" Target="media/rId73.png" /><Relationship Type="http://schemas.openxmlformats.org/officeDocument/2006/relationships/image" Id="rId17" Target="media/rId17.png" /><Relationship Type="http://schemas.openxmlformats.org/officeDocument/2006/relationships/image" Id="rId50" Target="media/rId50.png" /><Relationship Type="http://schemas.openxmlformats.org/officeDocument/2006/relationships/image" Id="rId53" Target="media/rId53.png" /><Relationship Type="http://schemas.openxmlformats.org/officeDocument/2006/relationships/image" Id="rId34" Target="media/rId34.png" /><Relationship Type="http://schemas.openxmlformats.org/officeDocument/2006/relationships/image" Id="rId38" Target="media/rId38.png" /><Relationship Type="http://schemas.openxmlformats.org/officeDocument/2006/relationships/image" Id="rId24" Target="media/rId24.png" /><Relationship Type="http://schemas.openxmlformats.org/officeDocument/2006/relationships/image" Id="rId31" Target="media/rId31.png" /><Relationship Type="http://schemas.openxmlformats.org/officeDocument/2006/relationships/image" Id="rId44" Target="media/rId44.png" /><Relationship Type="http://schemas.openxmlformats.org/officeDocument/2006/relationships/image" Id="rId78" Target="media/rId78.png" /><Relationship Type="http://schemas.openxmlformats.org/officeDocument/2006/relationships/image" Id="rId41" Target="media/rId41.png" /><Relationship Type="http://schemas.openxmlformats.org/officeDocument/2006/relationships/image" Id="rId59" Target="media/rId59.png" /><Relationship Type="http://schemas.openxmlformats.org/officeDocument/2006/relationships/hyperlink" Id="rId93" Target="https://CRAN.R-project.org/package=mycaas" TargetMode="External" /><Relationship Type="http://schemas.openxmlformats.org/officeDocument/2006/relationships/hyperlink" Id="rId9" Target="https://creativecommons.org/licenses/by-nc-sa/4.0/" TargetMode="External" /><Relationship Type="http://schemas.openxmlformats.org/officeDocument/2006/relationships/hyperlink" Id="rId105" Target="https://doi.org/10.1006/jmps.1993.1002" TargetMode="External" /><Relationship Type="http://schemas.openxmlformats.org/officeDocument/2006/relationships/hyperlink" Id="rId89" Target="https://doi.org/10.1006/jmps.1997.1152" TargetMode="External" /><Relationship Type="http://schemas.openxmlformats.org/officeDocument/2006/relationships/hyperlink" Id="rId99" Target="https://doi.org/10.1007/978-1-4612-4308-3_8" TargetMode="External" /><Relationship Type="http://schemas.openxmlformats.org/officeDocument/2006/relationships/hyperlink" Id="rId103" Target="https://doi.org/10.1007/978-3-642-58625-5" TargetMode="External" /><Relationship Type="http://schemas.openxmlformats.org/officeDocument/2006/relationships/hyperlink" Id="rId113" Target="https://doi.org/10.1016/0022-2496(88)90011-9" TargetMode="External" /><Relationship Type="http://schemas.openxmlformats.org/officeDocument/2006/relationships/hyperlink" Id="rId97" Target="https://doi.org/10.1016/0022-2496/86/90032-5" TargetMode="External" /><Relationship Type="http://schemas.openxmlformats.org/officeDocument/2006/relationships/hyperlink" Id="rId101" Target="https://doi.org/10.1016/50020-7373(85)80031-6" TargetMode="External" /><Relationship Type="http://schemas.openxmlformats.org/officeDocument/2006/relationships/hyperlink" Id="rId95" Target="https://doi.org/10.1016/j.endm.2013.05.144" TargetMode="External" /><Relationship Type="http://schemas.openxmlformats.org/officeDocument/2006/relationships/hyperlink" Id="rId118" Target="https://doi.org/10.1016/j.endm.2013.05.145" TargetMode="External" /><Relationship Type="http://schemas.openxmlformats.org/officeDocument/2006/relationships/hyperlink" Id="rId136" Target="https://doi.org/10.1016/j.j,p.2017.008.003" TargetMode="External" /><Relationship Type="http://schemas.openxmlformats.org/officeDocument/2006/relationships/hyperlink" Id="rId87" Target="https://doi.org/10.1016/j.jmp.2015.05.003" TargetMode="External" /><Relationship Type="http://schemas.openxmlformats.org/officeDocument/2006/relationships/hyperlink" Id="rId140" Target="https://doi.org/10.1080/0950069970190303" TargetMode="External" /><Relationship Type="http://schemas.openxmlformats.org/officeDocument/2006/relationships/hyperlink" Id="rId107" Target="https://doi.org/10.1109/69.929902" TargetMode="External" /><Relationship Type="http://schemas.openxmlformats.org/officeDocument/2006/relationships/hyperlink" Id="rId111" Target="https://doi.org/10.1111/2044-8317.1988.tb00884.x" TargetMode="External" /><Relationship Type="http://schemas.openxmlformats.org/officeDocument/2006/relationships/hyperlink" Id="rId109" Target="https://doi.org/10.1111/j2044-8317.1995.tb01047.x" TargetMode="External" /><Relationship Type="http://schemas.openxmlformats.org/officeDocument/2006/relationships/hyperlink" Id="rId116" Target="https://doi.org/10.1142/13519" TargetMode="External" /><Relationship Type="http://schemas.openxmlformats.org/officeDocument/2006/relationships/hyperlink" Id="rId91" Target="https://doi.org/10.1142/9789811280481_0012" TargetMode="External" /><Relationship Type="http://schemas.openxmlformats.org/officeDocument/2006/relationships/hyperlink" Id="rId142" Target="https://doi.org/10.18637/jss.v037.i02" TargetMode="External" /><Relationship Type="http://schemas.openxmlformats.org/officeDocument/2006/relationships/hyperlink" Id="rId123" Target="https://doi.org/10.32614/CRAN.package.CDSS" TargetMode="External" /><Relationship Type="http://schemas.openxmlformats.org/officeDocument/2006/relationships/hyperlink" Id="rId121" Target="https://doi.org/10.32614/CRAN.package.CbKST" TargetMode="External" /><Relationship Type="http://schemas.openxmlformats.org/officeDocument/2006/relationships/hyperlink" Id="rId130" Target="https://doi.org/10.32614/CRAN.package.DAKS" TargetMode="External" /><Relationship Type="http://schemas.openxmlformats.org/officeDocument/2006/relationships/hyperlink" Id="rId134" Target="https://doi.org/10.32614/CRAN.package.kst" TargetMode="External" /><Relationship Type="http://schemas.openxmlformats.org/officeDocument/2006/relationships/hyperlink" Id="rId125" Target="https://doi.org/10.32614/CRAN.package.kstMatrix" TargetMode="External" /><Relationship Type="http://schemas.openxmlformats.org/officeDocument/2006/relationships/hyperlink" Id="rId144" Target="https://doi.org/10.32614/CRAN.package.pks" TargetMode="External" /><Relationship Type="http://schemas.openxmlformats.org/officeDocument/2006/relationships/hyperlink" Id="rId85" Target="https://doi.org/10.4324/9781410602077" TargetMode="External" /><Relationship Type="http://schemas.openxmlformats.org/officeDocument/2006/relationships/hyperlink" Id="rId138" Target="https://edtechbooks.org/qmerca/knowledgespacetheory" TargetMode="External" /><Relationship Type="http://schemas.openxmlformats.org/officeDocument/2006/relationships/hyperlink" Id="rId128" Target="https://github.com/jujupsy/pksCpp/" TargetMode="External" /><Relationship Type="http://schemas.openxmlformats.org/officeDocument/2006/relationships/hyperlink" Id="rId14" Target="https://shiny.uni-graz.at/cognition/KST-R/Hockemeyer_KST-R.docx" TargetMode="External" /><Relationship Type="http://schemas.openxmlformats.org/officeDocument/2006/relationships/hyperlink" Id="rId15" Target="https://shiny.uni-graz.at/cognition/KST-R/Hockemeyer_KST-R.odt" TargetMode="External" /><Relationship Type="http://schemas.openxmlformats.org/officeDocument/2006/relationships/hyperlink" Id="rId13" Target="https://shiny.uni-graz.at/cognition/KST-R/Hockemeyer_KST-R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https://CRAN.R-project.org/package=mycaas" TargetMode="External" /><Relationship Type="http://schemas.openxmlformats.org/officeDocument/2006/relationships/hyperlink" Id="rId9" Target="https://creativecommons.org/licenses/by-nc-sa/4.0/" TargetMode="External" /><Relationship Type="http://schemas.openxmlformats.org/officeDocument/2006/relationships/hyperlink" Id="rId105" Target="https://doi.org/10.1006/jmps.1993.1002" TargetMode="External" /><Relationship Type="http://schemas.openxmlformats.org/officeDocument/2006/relationships/hyperlink" Id="rId89" Target="https://doi.org/10.1006/jmps.1997.1152" TargetMode="External" /><Relationship Type="http://schemas.openxmlformats.org/officeDocument/2006/relationships/hyperlink" Id="rId99" Target="https://doi.org/10.1007/978-1-4612-4308-3_8" TargetMode="External" /><Relationship Type="http://schemas.openxmlformats.org/officeDocument/2006/relationships/hyperlink" Id="rId103" Target="https://doi.org/10.1007/978-3-642-58625-5" TargetMode="External" /><Relationship Type="http://schemas.openxmlformats.org/officeDocument/2006/relationships/hyperlink" Id="rId113" Target="https://doi.org/10.1016/0022-2496(88)90011-9" TargetMode="External" /><Relationship Type="http://schemas.openxmlformats.org/officeDocument/2006/relationships/hyperlink" Id="rId97" Target="https://doi.org/10.1016/0022-2496/86/90032-5" TargetMode="External" /><Relationship Type="http://schemas.openxmlformats.org/officeDocument/2006/relationships/hyperlink" Id="rId101" Target="https://doi.org/10.1016/50020-7373(85)80031-6" TargetMode="External" /><Relationship Type="http://schemas.openxmlformats.org/officeDocument/2006/relationships/hyperlink" Id="rId95" Target="https://doi.org/10.1016/j.endm.2013.05.144" TargetMode="External" /><Relationship Type="http://schemas.openxmlformats.org/officeDocument/2006/relationships/hyperlink" Id="rId118" Target="https://doi.org/10.1016/j.endm.2013.05.145" TargetMode="External" /><Relationship Type="http://schemas.openxmlformats.org/officeDocument/2006/relationships/hyperlink" Id="rId136" Target="https://doi.org/10.1016/j.j,p.2017.008.003" TargetMode="External" /><Relationship Type="http://schemas.openxmlformats.org/officeDocument/2006/relationships/hyperlink" Id="rId87" Target="https://doi.org/10.1016/j.jmp.2015.05.003" TargetMode="External" /><Relationship Type="http://schemas.openxmlformats.org/officeDocument/2006/relationships/hyperlink" Id="rId140" Target="https://doi.org/10.1080/0950069970190303" TargetMode="External" /><Relationship Type="http://schemas.openxmlformats.org/officeDocument/2006/relationships/hyperlink" Id="rId107" Target="https://doi.org/10.1109/69.929902" TargetMode="External" /><Relationship Type="http://schemas.openxmlformats.org/officeDocument/2006/relationships/hyperlink" Id="rId111" Target="https://doi.org/10.1111/2044-8317.1988.tb00884.x" TargetMode="External" /><Relationship Type="http://schemas.openxmlformats.org/officeDocument/2006/relationships/hyperlink" Id="rId109" Target="https://doi.org/10.1111/j2044-8317.1995.tb01047.x" TargetMode="External" /><Relationship Type="http://schemas.openxmlformats.org/officeDocument/2006/relationships/hyperlink" Id="rId116" Target="https://doi.org/10.1142/13519" TargetMode="External" /><Relationship Type="http://schemas.openxmlformats.org/officeDocument/2006/relationships/hyperlink" Id="rId91" Target="https://doi.org/10.1142/9789811280481_0012" TargetMode="External" /><Relationship Type="http://schemas.openxmlformats.org/officeDocument/2006/relationships/hyperlink" Id="rId142" Target="https://doi.org/10.18637/jss.v037.i02" TargetMode="External" /><Relationship Type="http://schemas.openxmlformats.org/officeDocument/2006/relationships/hyperlink" Id="rId123" Target="https://doi.org/10.32614/CRAN.package.CDSS" TargetMode="External" /><Relationship Type="http://schemas.openxmlformats.org/officeDocument/2006/relationships/hyperlink" Id="rId121" Target="https://doi.org/10.32614/CRAN.package.CbKST" TargetMode="External" /><Relationship Type="http://schemas.openxmlformats.org/officeDocument/2006/relationships/hyperlink" Id="rId130" Target="https://doi.org/10.32614/CRAN.package.DAKS" TargetMode="External" /><Relationship Type="http://schemas.openxmlformats.org/officeDocument/2006/relationships/hyperlink" Id="rId134" Target="https://doi.org/10.32614/CRAN.package.kst" TargetMode="External" /><Relationship Type="http://schemas.openxmlformats.org/officeDocument/2006/relationships/hyperlink" Id="rId125" Target="https://doi.org/10.32614/CRAN.package.kstMatrix" TargetMode="External" /><Relationship Type="http://schemas.openxmlformats.org/officeDocument/2006/relationships/hyperlink" Id="rId144" Target="https://doi.org/10.32614/CRAN.package.pks" TargetMode="External" /><Relationship Type="http://schemas.openxmlformats.org/officeDocument/2006/relationships/hyperlink" Id="rId85" Target="https://doi.org/10.4324/9781410602077" TargetMode="External" /><Relationship Type="http://schemas.openxmlformats.org/officeDocument/2006/relationships/hyperlink" Id="rId138" Target="https://edtechbooks.org/qmerca/knowledgespacetheory" TargetMode="External" /><Relationship Type="http://schemas.openxmlformats.org/officeDocument/2006/relationships/hyperlink" Id="rId128" Target="https://github.com/jujupsy/pksCpp/" TargetMode="External" /><Relationship Type="http://schemas.openxmlformats.org/officeDocument/2006/relationships/hyperlink" Id="rId14" Target="https://shiny.uni-graz.at/cognition/KST-R/Hockemeyer_KST-R.docx" TargetMode="External" /><Relationship Type="http://schemas.openxmlformats.org/officeDocument/2006/relationships/hyperlink" Id="rId15" Target="https://shiny.uni-graz.at/cognition/KST-R/Hockemeyer_KST-R.odt" TargetMode="External" /><Relationship Type="http://schemas.openxmlformats.org/officeDocument/2006/relationships/hyperlink" Id="rId13" Target="https://shiny.uni-graz.at/cognition/KST-R/Hockemeyer_KST-R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 Packages for Knowledge Space Theory</dc:title>
  <dc:creator>Cord Hockemeyer (Department of Psychology, University of Graz, Austria)</dc:creator>
  <cp:keywords/>
  <dcterms:created xsi:type="dcterms:W3CDTF">2026-09-28T04:54:14Z</dcterms:created>
  <dcterms:modified xsi:type="dcterms:W3CDTF">2026-09-28T04:54:14Z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style">
    <vt:lpwstr>apalike</vt:lpwstr>
  </property>
  <property fmtid="{D5CDD505-2E9C-101B-9397-08002B2CF9AE}" pid="3" name="bibliography">
    <vt:lpwstr>Hockemeyer_KST-R.bib</vt:lpwstr>
  </property>
  <property fmtid="{D5CDD505-2E9C-101B-9397-08002B2CF9AE}" pid="4" name="date">
    <vt:lpwstr>September 28, 2026</vt:lpwstr>
  </property>
  <property fmtid="{D5CDD505-2E9C-101B-9397-08002B2CF9AE}" pid="5" name="fontsize">
    <vt:lpwstr>12pt</vt:lpwstr>
  </property>
  <property fmtid="{D5CDD505-2E9C-101B-9397-08002B2CF9AE}" pid="6" name="link-citations">
    <vt:lpwstr>True</vt:lpwstr>
  </property>
  <property fmtid="{D5CDD505-2E9C-101B-9397-08002B2CF9AE}" pid="7" name="mainfont">
    <vt:lpwstr>Palatino Linotype</vt:lpwstr>
  </property>
  <property fmtid="{D5CDD505-2E9C-101B-9397-08002B2CF9AE}" pid="8" name="output">
    <vt:lpwstr/>
  </property>
  <property fmtid="{D5CDD505-2E9C-101B-9397-08002B2CF9AE}" pid="9" name="papersize">
    <vt:lpwstr>a4</vt:lpwstr>
  </property>
  <property fmtid="{D5CDD505-2E9C-101B-9397-08002B2CF9AE}" pid="10" name="subtitle">
    <vt:lpwstr>Version 3.0-2</vt:lpwstr>
  </property>
  <property fmtid="{D5CDD505-2E9C-101B-9397-08002B2CF9AE}" pid="11" name="version">
    <vt:lpwstr>3.0-2</vt:lpwstr>
  </property>
</Properties>
</file>